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7E3D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46E5B526" w14:textId="6E4E2477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Bu prosedürün amacı, Fakülte kapsamı dâhilinde, bilgi ve bilgi sistemlerini etkileyen güvenlik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olaylarının tanımlanması, olayların nasıl ele alındığı ve / veya alınması gerektiğini, ihlal olaylarının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sorumlularının belirlenmesi, olayların raporlanması ve işlenmesi için rehberlik sağlamak, bilgi güvenliği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ihlal olaylarının rapor edilmesi, güvenlik ihlallerinin sonuçlarının hafifletilmesi ve gelecekteki güvenlik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ihlallerinin azaltılması için önemli rol oynamaktadır.</w:t>
      </w:r>
    </w:p>
    <w:p w14:paraId="2E679552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359D4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08E55856" w14:textId="1B2AA583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 xml:space="preserve">Bu prosedür, </w:t>
      </w:r>
      <w:r>
        <w:rPr>
          <w:rFonts w:ascii="Times New Roman" w:hAnsi="Times New Roman" w:cs="Times New Roman"/>
          <w:sz w:val="24"/>
          <w:szCs w:val="24"/>
        </w:rPr>
        <w:t>ALKÜ</w:t>
      </w:r>
      <w:r w:rsidRPr="00321646">
        <w:rPr>
          <w:rFonts w:ascii="Times New Roman" w:hAnsi="Times New Roman" w:cs="Times New Roman"/>
          <w:sz w:val="24"/>
          <w:szCs w:val="24"/>
        </w:rPr>
        <w:t xml:space="preserve"> Diş Hekimliği bünyesindeki bilgi ve bilgi sistemlerini etkileyen güvenlik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olaylarını kapsamaktadır.</w:t>
      </w:r>
    </w:p>
    <w:p w14:paraId="2E934205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A8653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2EE61F97" w14:textId="7A22B157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3.1 Bilgi Güvenliği İhlal Olayı:</w:t>
      </w:r>
      <w:r w:rsidRPr="00321646">
        <w:rPr>
          <w:rFonts w:ascii="Times New Roman" w:hAnsi="Times New Roman" w:cs="Times New Roman"/>
          <w:sz w:val="24"/>
          <w:szCs w:val="24"/>
        </w:rPr>
        <w:t xml:space="preserve"> Kurum bilgilerinin gizliliğini, bütünlüğünü veya kullanılabilirliğini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herhangi bir biçimde etkileme potansiyeline sahip herhangi bir olayı.</w:t>
      </w:r>
    </w:p>
    <w:p w14:paraId="5FE72BB5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6AE7C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1170A198" w14:textId="77777777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Üst yönetim, bilgi işlem birimi ve tüm çalışanlar sorumludur</w:t>
      </w:r>
    </w:p>
    <w:p w14:paraId="744EEBD8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3EFD4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282D031D" w14:textId="4D4AF1E0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321646">
        <w:rPr>
          <w:rFonts w:ascii="Times New Roman" w:hAnsi="Times New Roman" w:cs="Times New Roman"/>
          <w:sz w:val="24"/>
          <w:szCs w:val="24"/>
        </w:rPr>
        <w:t xml:space="preserve"> Fakültemizde aşağıdaki hususlardan kaynaklanacak ihlaller Bilgi Güvenliği İhlali Olarak kabul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21646">
        <w:rPr>
          <w:rFonts w:ascii="Times New Roman" w:hAnsi="Times New Roman" w:cs="Times New Roman"/>
          <w:sz w:val="24"/>
          <w:szCs w:val="24"/>
        </w:rPr>
        <w:t>dilmiştir.</w:t>
      </w:r>
    </w:p>
    <w:p w14:paraId="61DD3CC9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Kullanılan bilgi varlıklarının çalınması, kaybolması ya da kırılması</w:t>
      </w:r>
    </w:p>
    <w:p w14:paraId="7F71CF45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Bilginin Gizlilik, Bütünlük, Erişilebilirlik beklentilerindeki ihlaller</w:t>
      </w:r>
    </w:p>
    <w:p w14:paraId="4C298B9E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İnsan hatalarından kaynaklanan ihlaller</w:t>
      </w:r>
    </w:p>
    <w:p w14:paraId="70DE087C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Üniversite ve Bakanlık tarafından yayımlanmış Bilgi Güvenliği Yönergesi, Politikalar ve</w:t>
      </w:r>
    </w:p>
    <w:p w14:paraId="10F85FF5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Prosedürlere göre iş ve işlemlerin yürütülmemesi</w:t>
      </w:r>
    </w:p>
    <w:p w14:paraId="2385E47E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Fiziksel Güvenlik düzenlemelerinin ihlali</w:t>
      </w:r>
    </w:p>
    <w:p w14:paraId="629B68DF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Kontrolsüz sistem değişiklikleri</w:t>
      </w:r>
    </w:p>
    <w:p w14:paraId="7F132E91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Yazılım ya da donanım arızaları</w:t>
      </w:r>
    </w:p>
    <w:p w14:paraId="5CB2B8D6" w14:textId="327B3D70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Erişim ihlalleri (yetkisiz erişim), yetkisiz bilgi kullanımına izin veren uygun olmayan erişim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denetimleri</w:t>
      </w:r>
    </w:p>
    <w:p w14:paraId="280816B9" w14:textId="79DFCCB1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Siber saldırılar (Virüs, izinsiz giriş, Truva atı, casus yazılım vb. bulgular için, sistem sunucu servis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problemleri için)</w:t>
      </w:r>
    </w:p>
    <w:p w14:paraId="595C8EB9" w14:textId="77777777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Gizli bilginin yetkisiz kişilerce ifşa edilmesi</w:t>
      </w:r>
    </w:p>
    <w:p w14:paraId="7123C9AE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578AF" w14:textId="7931B3C5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321646">
        <w:rPr>
          <w:rFonts w:ascii="Times New Roman" w:hAnsi="Times New Roman" w:cs="Times New Roman"/>
          <w:sz w:val="24"/>
          <w:szCs w:val="24"/>
        </w:rPr>
        <w:t xml:space="preserve"> Tüm çalışanlar, ihlal olaylarının ele alınması için gerekli tespit, raporlama ve eylemin önemi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hakkında BGYS Birimi tarafından sürekli olarak bilgilendirilir</w:t>
      </w:r>
    </w:p>
    <w:p w14:paraId="1CF3BA8D" w14:textId="77777777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321646">
        <w:rPr>
          <w:rFonts w:ascii="Times New Roman" w:hAnsi="Times New Roman" w:cs="Times New Roman"/>
          <w:sz w:val="24"/>
          <w:szCs w:val="24"/>
        </w:rPr>
        <w:t>. Bu prosedürün ele aldığı olay türleri şunları içerir, ancak bunlarla sınırlı değildir</w:t>
      </w:r>
    </w:p>
    <w:p w14:paraId="0D929D69" w14:textId="77777777" w:rsidR="00BB0F70" w:rsidRPr="00321646" w:rsidRDefault="00BB0F70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87921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5.3.1. Servis Dışı Bırakma (DDOS)</w:t>
      </w:r>
    </w:p>
    <w:p w14:paraId="1DB1270E" w14:textId="6735D2C3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Çoklu sistemlerde hedef sistemin kaynakları ya da bant genişliği istilaya uğradığı zaman oluşur, bunlar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genellikle bir veya birden fazla web sunucusudur. Bu sistemler saldırganlar tarafından çeşitli yöntemler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kullanılarak bağdaştırılır.</w:t>
      </w:r>
    </w:p>
    <w:p w14:paraId="3034007B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 xml:space="preserve">5.3.2. Bilgi Sızdırma (Data </w:t>
      </w:r>
      <w:proofErr w:type="spellStart"/>
      <w:r w:rsidRPr="00BB0F70">
        <w:rPr>
          <w:rFonts w:ascii="Times New Roman" w:hAnsi="Times New Roman" w:cs="Times New Roman"/>
          <w:b/>
          <w:bCs/>
          <w:sz w:val="24"/>
          <w:szCs w:val="24"/>
        </w:rPr>
        <w:t>Leakage</w:t>
      </w:r>
      <w:proofErr w:type="spellEnd"/>
      <w:r w:rsidRPr="00BB0F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9275ED" w14:textId="308615E9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Kurumun bilişim teknolojileri ile kullandığı, işlediği ya da ürettiği verilerin bilinçli ya da bilinçsiz bir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şekilde kurum dışına taşınarak, belirlenmiş “bilgi güvenliği” politikalarının ihlali.</w:t>
      </w:r>
    </w:p>
    <w:p w14:paraId="34C2D98B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5.3.3. Zararlı Yazılım (</w:t>
      </w:r>
      <w:proofErr w:type="spellStart"/>
      <w:r w:rsidRPr="00BB0F70">
        <w:rPr>
          <w:rFonts w:ascii="Times New Roman" w:hAnsi="Times New Roman" w:cs="Times New Roman"/>
          <w:b/>
          <w:bCs/>
          <w:sz w:val="24"/>
          <w:szCs w:val="24"/>
        </w:rPr>
        <w:t>Malware</w:t>
      </w:r>
      <w:proofErr w:type="spellEnd"/>
      <w:r w:rsidRPr="00BB0F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C8DCF2" w14:textId="557C9B03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Bilgisayar sistemlerine zarar vermek, bilgi çalmak veya kullanıcıları rahatsız etmek gibi amaçlarla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hazırlanmış yazılımlara genel olarak verilen ad.</w:t>
      </w:r>
    </w:p>
    <w:p w14:paraId="2AD12F38" w14:textId="2853B76E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5.3.4. Dolandırıcılık (</w:t>
      </w:r>
      <w:proofErr w:type="spellStart"/>
      <w:r w:rsidRPr="00BB0F70">
        <w:rPr>
          <w:rFonts w:ascii="Times New Roman" w:hAnsi="Times New Roman" w:cs="Times New Roman"/>
          <w:b/>
          <w:bCs/>
          <w:sz w:val="24"/>
          <w:szCs w:val="24"/>
        </w:rPr>
        <w:t>Fraud</w:t>
      </w:r>
      <w:proofErr w:type="spellEnd"/>
      <w:r w:rsidRPr="00BB0F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0D4233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Aldatma amacı ile yapılan kasıtlı eylemdir.</w:t>
      </w:r>
    </w:p>
    <w:p w14:paraId="35B1639D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5.3.5. Port Tarama</w:t>
      </w:r>
    </w:p>
    <w:p w14:paraId="55FAE0F7" w14:textId="4D1C7E9D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Sunucu üzerinde çalışan servislerin hizmet verdiği mantıksal bağlantı noktalarını ve durumlarını tespit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etmek için yapılan işlemdir.</w:t>
      </w:r>
    </w:p>
    <w:p w14:paraId="14953D46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5.3.6. Veri Tabanı Saldırısı</w:t>
      </w:r>
    </w:p>
    <w:p w14:paraId="3E4B06F2" w14:textId="75A81E6C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Veri tabanı yazılımlarının kullanımından oluşabilecek zafiyetlerinden veri tabanının ele geçirilmesi,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yönetilmesi ya da yetki yükseltilmesi şeklindeki saldırılardır.</w:t>
      </w:r>
    </w:p>
    <w:p w14:paraId="5F563EA4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5.3.7. Web Uygulamaları Güvenlik İhlalleri</w:t>
      </w:r>
    </w:p>
    <w:p w14:paraId="4E60218B" w14:textId="28141B40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ARP sızdırma, işlevselliğin kötüye kullanımı, içeriğe sızma, DNS çalınması vb. metotlar ile web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sitesinin güvenliğinin tehdit edilmesi veya sağlanamaması durumlarıdır.</w:t>
      </w:r>
    </w:p>
    <w:p w14:paraId="58F3AAE2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5.3.8. Sosyal Mühendislik</w:t>
      </w:r>
    </w:p>
    <w:p w14:paraId="0028160F" w14:textId="39627ECC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İnternette insanların zafiyetlerinden faydalanarak çeşitli ikna ve kandırma yöntemleriyle istenilen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bilgileri elde etmeye çalışmaktır. İnsanların karar verme süreçlerini değiştirmeye yönelik teknikler içerir.</w:t>
      </w:r>
    </w:p>
    <w:p w14:paraId="1CE2E311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 xml:space="preserve">5.3.9.Veri Kaybı / </w:t>
      </w:r>
      <w:proofErr w:type="spellStart"/>
      <w:r w:rsidRPr="00BB0F70">
        <w:rPr>
          <w:rFonts w:ascii="Times New Roman" w:hAnsi="Times New Roman" w:cs="Times New Roman"/>
          <w:b/>
          <w:bCs/>
          <w:sz w:val="24"/>
          <w:szCs w:val="24"/>
        </w:rPr>
        <w:t>Ifşası</w:t>
      </w:r>
      <w:proofErr w:type="spellEnd"/>
    </w:p>
    <w:p w14:paraId="59CED9A8" w14:textId="16018F3C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Gizli bilgilerin e-posta aracılığı ile iletimi, ağ üzerinden iletilen bilgilerin yetkisiz ya da yanlış alıcıya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iletimi, internet üzerinden güvenli olmayan kanallar aracılığıyla veri iletimi, ortak kullanım yazıcılarından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alınan çıktıların sahiplenilmemesi ya da güvenliğine önem</w:t>
      </w:r>
      <w:r w:rsidR="005422D5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verilmemesi, masa üstü ya da ortak alanlarda basılı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kopyaların denetimsiz bırakılması vb. durumlarda tüm çalışanlar verilerin güvenliğini ve bütünlüğünü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korumanın önemini göz önünde bulundurarak bilinçli hareket etmeli, ihlal durumlarını rapor etmesi gerekir.</w:t>
      </w:r>
    </w:p>
    <w:p w14:paraId="6F80E0AA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5.3.10. Zararlı Elektronik Posta (Spam)</w:t>
      </w:r>
    </w:p>
    <w:p w14:paraId="7C504B1D" w14:textId="2A3E1DE9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İsteğiniz olmadan, size gönderilen ticari içerikli oyada politik bir görüşün propagandasını yapmak ya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da bir konu hakkında kamuoyu oluşturmak amacı ile gönderilen e-posta iletileridir.</w:t>
      </w:r>
    </w:p>
    <w:p w14:paraId="2F5E8BAD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5.3.11. Parola Ele Geçirme</w:t>
      </w:r>
    </w:p>
    <w:p w14:paraId="69E0609C" w14:textId="36CE989F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Depolanmaması gereken bir yerde depolanan parolaların tespiti ya da sızması durumudur. Ya da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herhangi bir saldırı yöntemi ile parolaların ele geçirilmesidir.</w:t>
      </w:r>
    </w:p>
    <w:p w14:paraId="2528868E" w14:textId="77777777" w:rsidR="00BB0F70" w:rsidRPr="00321646" w:rsidRDefault="00BB0F70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73D6D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5.3.12. Taşınır Cihaz Kaybı</w:t>
      </w:r>
    </w:p>
    <w:p w14:paraId="04C3D705" w14:textId="2F430916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CD / DVD, DAT (manyetik ses bandı), veri depolamak için USB taşınabilir veri depolama / HD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BB0F70">
        <w:rPr>
          <w:rFonts w:ascii="Times New Roman" w:hAnsi="Times New Roman" w:cs="Times New Roman"/>
          <w:sz w:val="24"/>
          <w:szCs w:val="24"/>
        </w:rPr>
        <w:t>sürücüler gibi taşınabilir ortamların kullanılması, kullanıcının bu tür cihazları kullanma sorumluluklarının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tamamen farkında olmasını gerektirir. PC'lerin, dizüstü bilgisayarların, tabletlerin ve diğer taşınabilir aygıtların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kullanılması, verilerin izinsiz erişime açık hale gelmesine neden olabilir. Kasıtlı ya da kazayla, herhangi bir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taşınabilir aygıtın yetkili kullanıcısı (taşınabilir medya dahil) dışında kullanımı, kaybı veya bulunması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durumunda İhlal Olay Raporlama prosedürleri aracılığıyla BGYS Birimine bildirilir.</w:t>
      </w:r>
    </w:p>
    <w:p w14:paraId="681C8D64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5.3.13. Kimlik Taklidi</w:t>
      </w:r>
    </w:p>
    <w:p w14:paraId="1EF5AE13" w14:textId="14AA8E01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Kişilerin fiziksel, telefon ya da dijital ortamda olmadığı bir kişi gibi davranıp, onun yetkilerini bilgisi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dışında kullanmasıdır.</w:t>
      </w:r>
    </w:p>
    <w:p w14:paraId="5223D8A2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 xml:space="preserve">5.3.14. </w:t>
      </w:r>
      <w:proofErr w:type="spellStart"/>
      <w:r w:rsidRPr="00BB0F70">
        <w:rPr>
          <w:rFonts w:ascii="Times New Roman" w:hAnsi="Times New Roman" w:cs="Times New Roman"/>
          <w:b/>
          <w:bCs/>
          <w:sz w:val="24"/>
          <w:szCs w:val="24"/>
        </w:rPr>
        <w:t>Oltalama</w:t>
      </w:r>
      <w:proofErr w:type="spellEnd"/>
    </w:p>
    <w:p w14:paraId="1579A190" w14:textId="6D8E1F9F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Dolandırıcıların kullanıcı hesaplarına rastgele e-posta göndererek bilgi sızdırmaya yönelik çevrimiçi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saldırı türüdür.</w:t>
      </w:r>
    </w:p>
    <w:p w14:paraId="7637DBB7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5.3.15. Kişisel Bilgilerin Kötüye Kullanımı</w:t>
      </w:r>
    </w:p>
    <w:p w14:paraId="6E8AAC86" w14:textId="4CA59996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Tüm kişisel nitelikteki bilgileri görüntülemek, ifşa etmek veya dağıtmak 6698 sayılı Kişisel Verilerin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 xml:space="preserve">Korunması Kanunu (Dış Kaynaklı Doküman </w:t>
      </w:r>
      <w:r w:rsidR="005422D5" w:rsidRPr="00321646">
        <w:rPr>
          <w:rFonts w:ascii="Times New Roman" w:hAnsi="Times New Roman" w:cs="Times New Roman"/>
          <w:sz w:val="24"/>
          <w:szCs w:val="24"/>
        </w:rPr>
        <w:t>Listesi)</w:t>
      </w:r>
      <w:r w:rsidRPr="00321646">
        <w:rPr>
          <w:rFonts w:ascii="Times New Roman" w:hAnsi="Times New Roman" w:cs="Times New Roman"/>
          <w:sz w:val="24"/>
          <w:szCs w:val="24"/>
        </w:rPr>
        <w:t xml:space="preserve"> usul ve esaslarına aykırıdır. Herhangi kasıtlı ya da hata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ile oluşacak kişisel bilgilerin kötüye kullanımı durumların raporlanması zorunludur.</w:t>
      </w:r>
    </w:p>
    <w:p w14:paraId="59097562" w14:textId="56C18FE9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 xml:space="preserve">5.3.16. Diğer </w:t>
      </w:r>
      <w:r w:rsidR="00BB0F70">
        <w:rPr>
          <w:rFonts w:ascii="Times New Roman" w:hAnsi="Times New Roman" w:cs="Times New Roman"/>
          <w:b/>
          <w:bCs/>
          <w:sz w:val="24"/>
          <w:szCs w:val="24"/>
        </w:rPr>
        <w:t>İhlal</w:t>
      </w:r>
      <w:r w:rsidRPr="00BB0F70">
        <w:rPr>
          <w:rFonts w:ascii="Times New Roman" w:hAnsi="Times New Roman" w:cs="Times New Roman"/>
          <w:b/>
          <w:bCs/>
          <w:sz w:val="24"/>
          <w:szCs w:val="24"/>
        </w:rPr>
        <w:t xml:space="preserve"> Olayları</w:t>
      </w:r>
    </w:p>
    <w:p w14:paraId="5AE90F3C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646">
        <w:rPr>
          <w:rFonts w:ascii="Times New Roman" w:hAnsi="Times New Roman" w:cs="Times New Roman"/>
          <w:sz w:val="24"/>
          <w:szCs w:val="24"/>
        </w:rPr>
        <w:t>♦ Yukarıda tanımlanan ihlal olaylarının dışında bilgi güvenliğini tehdit eden diğer ihlallerdir.</w:t>
      </w:r>
    </w:p>
    <w:p w14:paraId="39FA5A72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 Uygulama</w:t>
      </w:r>
    </w:p>
    <w:p w14:paraId="6719C4C8" w14:textId="1BDC5DC1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321646">
        <w:rPr>
          <w:rFonts w:ascii="Times New Roman" w:hAnsi="Times New Roman" w:cs="Times New Roman"/>
          <w:sz w:val="24"/>
          <w:szCs w:val="24"/>
        </w:rPr>
        <w:t xml:space="preserve"> İhlal bildirimleri, web sayfamızdaki İstenmeyen Olay Bildirim Formu ile, </w:t>
      </w:r>
      <w:proofErr w:type="gramStart"/>
      <w:r w:rsidRPr="00321646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321646">
        <w:rPr>
          <w:rFonts w:ascii="Times New Roman" w:hAnsi="Times New Roman" w:cs="Times New Roman"/>
          <w:sz w:val="24"/>
          <w:szCs w:val="24"/>
        </w:rPr>
        <w:t xml:space="preserve"> yolu ile resmi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sitemize, yazılı olarak ilgili form doldurulara</w:t>
      </w:r>
      <w:r w:rsidR="00BB0F70">
        <w:rPr>
          <w:rFonts w:ascii="Times New Roman" w:hAnsi="Times New Roman" w:cs="Times New Roman"/>
          <w:sz w:val="24"/>
          <w:szCs w:val="24"/>
        </w:rPr>
        <w:t>k da</w:t>
      </w:r>
      <w:r w:rsidRPr="00321646">
        <w:rPr>
          <w:rFonts w:ascii="Times New Roman" w:hAnsi="Times New Roman" w:cs="Times New Roman"/>
          <w:sz w:val="24"/>
          <w:szCs w:val="24"/>
        </w:rPr>
        <w:t xml:space="preserve"> Kalite Yönetim Birimine veya bilgi işlem birimine yapılabilir.</w:t>
      </w:r>
    </w:p>
    <w:p w14:paraId="0E2455A2" w14:textId="2D14A4AB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Pr="00321646">
        <w:rPr>
          <w:rFonts w:ascii="Times New Roman" w:hAnsi="Times New Roman" w:cs="Times New Roman"/>
          <w:sz w:val="24"/>
          <w:szCs w:val="24"/>
        </w:rPr>
        <w:t xml:space="preserve">. Web üzerinden yapılan bildirimler, BGYS birimi </w:t>
      </w:r>
      <w:r w:rsidR="00BB0F70">
        <w:rPr>
          <w:rFonts w:ascii="Times New Roman" w:hAnsi="Times New Roman" w:cs="Times New Roman"/>
          <w:sz w:val="24"/>
          <w:szCs w:val="24"/>
        </w:rPr>
        <w:t>alanya.edu.tr</w:t>
      </w:r>
      <w:r w:rsidRPr="00321646">
        <w:rPr>
          <w:rFonts w:ascii="Times New Roman" w:hAnsi="Times New Roman" w:cs="Times New Roman"/>
          <w:sz w:val="24"/>
          <w:szCs w:val="24"/>
        </w:rPr>
        <w:t xml:space="preserve"> uzantılı </w:t>
      </w:r>
      <w:proofErr w:type="gramStart"/>
      <w:r w:rsidRPr="0032164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321646">
        <w:rPr>
          <w:rFonts w:ascii="Times New Roman" w:hAnsi="Times New Roman" w:cs="Times New Roman"/>
          <w:sz w:val="24"/>
          <w:szCs w:val="24"/>
        </w:rPr>
        <w:t xml:space="preserve"> hesaplarına otomatik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eş zamanlı mail olarak iletilir.</w:t>
      </w:r>
    </w:p>
    <w:p w14:paraId="22EC208E" w14:textId="0801FCBE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Pr="00321646">
        <w:rPr>
          <w:rFonts w:ascii="Times New Roman" w:hAnsi="Times New Roman" w:cs="Times New Roman"/>
          <w:sz w:val="24"/>
          <w:szCs w:val="24"/>
        </w:rPr>
        <w:t>. Bilgi Güvenliği Sorumlusu bildirimin bilgi güvenliği ihlal olayı olup olmadığını tespit eder,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analizini yapar ve yayılmasını önlemek için alınması gereken acil eylem gerekli ise süreci başlatır. Olayın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ciddiyeti değerlendirilip yasal işlem öngörülmekte ise, ilgili hukuki ya da güvenlik otoriteleri sürece dâhil edilir.</w:t>
      </w:r>
    </w:p>
    <w:p w14:paraId="57A9A447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Pr="00321646">
        <w:rPr>
          <w:rFonts w:ascii="Times New Roman" w:hAnsi="Times New Roman" w:cs="Times New Roman"/>
          <w:sz w:val="24"/>
          <w:szCs w:val="24"/>
        </w:rPr>
        <w:t xml:space="preserve"> İhlal olayının çözümü için kullanılacak bildirim yöntemi e-posta ya da telefondur.</w:t>
      </w:r>
    </w:p>
    <w:p w14:paraId="317C4BDB" w14:textId="4247F0C3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Pr="00321646">
        <w:rPr>
          <w:rFonts w:ascii="Times New Roman" w:hAnsi="Times New Roman" w:cs="Times New Roman"/>
          <w:sz w:val="24"/>
          <w:szCs w:val="24"/>
        </w:rPr>
        <w:t xml:space="preserve"> Bilgi İşlem Birimi tarafından yapılan değerlendirme sonucunda ihlal olayının çözümü için ilgili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sorumlu tarafa (Birimin bağlı olduğu Anabilim Dalı Başkanına ve Üst Yönetime) ivedi bir şekilde iletişime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geçerek olayın çözümü için harekete geçilir.</w:t>
      </w:r>
    </w:p>
    <w:p w14:paraId="5142684F" w14:textId="6E42A4D4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6.6.</w:t>
      </w:r>
      <w:r w:rsidRPr="00321646">
        <w:rPr>
          <w:rFonts w:ascii="Times New Roman" w:hAnsi="Times New Roman" w:cs="Times New Roman"/>
          <w:sz w:val="24"/>
          <w:szCs w:val="24"/>
        </w:rPr>
        <w:t xml:space="preserve"> Kapsam dâhilinde ya da bildirilen ihlal olayları web sitesi üzerinden sadece yetkilendirilmiş Bilgi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Güvenliği Ekibi tarafından izlenmek ve rapor edilmek üzere saklanır.</w:t>
      </w:r>
    </w:p>
    <w:p w14:paraId="0A3BEB43" w14:textId="40960FBF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6.7</w:t>
      </w:r>
      <w:r w:rsidRPr="00321646">
        <w:rPr>
          <w:rFonts w:ascii="Times New Roman" w:hAnsi="Times New Roman" w:cs="Times New Roman"/>
          <w:sz w:val="24"/>
          <w:szCs w:val="24"/>
        </w:rPr>
        <w:t>. Bildirilen ihlal olayının çözümü için atılan adımlar her bir ihlal olay kaydı için ayrı ayrı yazılarak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olay kapatılır.</w:t>
      </w:r>
    </w:p>
    <w:p w14:paraId="14D6420C" w14:textId="7CA235EB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6.8.</w:t>
      </w:r>
      <w:r w:rsidRPr="00321646">
        <w:rPr>
          <w:rFonts w:ascii="Times New Roman" w:hAnsi="Times New Roman" w:cs="Times New Roman"/>
          <w:sz w:val="24"/>
          <w:szCs w:val="24"/>
        </w:rPr>
        <w:t xml:space="preserve"> Bildirilen ihlal olayları çerçevesinde yapılan bildirimler sonucu çözümleri, </w:t>
      </w:r>
      <w:r w:rsidR="00BB0F70" w:rsidRPr="00321646">
        <w:rPr>
          <w:rFonts w:ascii="Times New Roman" w:hAnsi="Times New Roman" w:cs="Times New Roman"/>
          <w:sz w:val="24"/>
          <w:szCs w:val="24"/>
        </w:rPr>
        <w:t>herhangi</w:t>
      </w:r>
      <w:r w:rsidRPr="00321646">
        <w:rPr>
          <w:rFonts w:ascii="Times New Roman" w:hAnsi="Times New Roman" w:cs="Times New Roman"/>
          <w:sz w:val="24"/>
          <w:szCs w:val="24"/>
        </w:rPr>
        <w:t xml:space="preserve"> bir maliyet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gerektiriyor ise sorumluluk ihlalin çözümünü üretecek birime aittir. Bilgi İşlem Birimi sadece olayı ilgili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taraflara bildirmek suretiyle çözülmesini sağlayacaktır.</w:t>
      </w:r>
    </w:p>
    <w:p w14:paraId="0291D911" w14:textId="1B7329E7" w:rsid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Pr="00321646">
        <w:rPr>
          <w:rFonts w:ascii="Times New Roman" w:hAnsi="Times New Roman" w:cs="Times New Roman"/>
          <w:sz w:val="24"/>
          <w:szCs w:val="24"/>
        </w:rPr>
        <w:t xml:space="preserve"> Bilgi Güvenliği ihlal olayları, Bilgi İşlem Birimi tarafından kaydedilerek, gerekli ise Düzeltici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Faaliyet planlanır ve /veya farkındalık e-postaları gönderilir. Ayrıca, yılda bir kez yapılan BGYS farkındalık</w:t>
      </w:r>
      <w:r w:rsidR="00BB0F70">
        <w:rPr>
          <w:rFonts w:ascii="Times New Roman" w:hAnsi="Times New Roman" w:cs="Times New Roman"/>
          <w:sz w:val="24"/>
          <w:szCs w:val="24"/>
        </w:rPr>
        <w:t xml:space="preserve"> </w:t>
      </w:r>
      <w:r w:rsidRPr="00321646">
        <w:rPr>
          <w:rFonts w:ascii="Times New Roman" w:hAnsi="Times New Roman" w:cs="Times New Roman"/>
          <w:sz w:val="24"/>
          <w:szCs w:val="24"/>
        </w:rPr>
        <w:t>eğitimleri için olay kayıtları girdi oluşturur.</w:t>
      </w:r>
    </w:p>
    <w:p w14:paraId="2CB1D5F8" w14:textId="77777777" w:rsidR="00BB0F70" w:rsidRPr="00321646" w:rsidRDefault="00BB0F70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125F6" w14:textId="77777777" w:rsidR="00321646" w:rsidRPr="00BB0F70" w:rsidRDefault="00321646" w:rsidP="00321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7. İLGİLİ DOKÜMANLAR</w:t>
      </w:r>
    </w:p>
    <w:p w14:paraId="4E5A1E78" w14:textId="339B2E6C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321646">
        <w:rPr>
          <w:rFonts w:ascii="Times New Roman" w:hAnsi="Times New Roman" w:cs="Times New Roman"/>
          <w:sz w:val="24"/>
          <w:szCs w:val="24"/>
        </w:rPr>
        <w:t xml:space="preserve"> Bilgi Güvenliği </w:t>
      </w:r>
      <w:r w:rsidR="00BB0F70" w:rsidRPr="00321646">
        <w:rPr>
          <w:rFonts w:ascii="Times New Roman" w:hAnsi="Times New Roman" w:cs="Times New Roman"/>
          <w:sz w:val="24"/>
          <w:szCs w:val="24"/>
        </w:rPr>
        <w:t>Politikası</w:t>
      </w:r>
    </w:p>
    <w:p w14:paraId="724FB2BD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321646">
        <w:rPr>
          <w:rFonts w:ascii="Times New Roman" w:hAnsi="Times New Roman" w:cs="Times New Roman"/>
          <w:sz w:val="24"/>
          <w:szCs w:val="24"/>
        </w:rPr>
        <w:t>. Bilgi İşlem Prosedürü</w:t>
      </w:r>
    </w:p>
    <w:p w14:paraId="7688F1FF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321646">
        <w:rPr>
          <w:rFonts w:ascii="Times New Roman" w:hAnsi="Times New Roman" w:cs="Times New Roman"/>
          <w:sz w:val="24"/>
          <w:szCs w:val="24"/>
        </w:rPr>
        <w:t>.İstenmeyen Olay Bildirim Prosedürü</w:t>
      </w:r>
    </w:p>
    <w:p w14:paraId="7EB8AEDB" w14:textId="77777777" w:rsidR="00321646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Pr="00321646">
        <w:rPr>
          <w:rFonts w:ascii="Times New Roman" w:hAnsi="Times New Roman" w:cs="Times New Roman"/>
          <w:sz w:val="24"/>
          <w:szCs w:val="24"/>
        </w:rPr>
        <w:t xml:space="preserve"> Personel Gizlilik Sözleşmesi</w:t>
      </w:r>
    </w:p>
    <w:p w14:paraId="19A64E24" w14:textId="0E190511" w:rsidR="00291B1D" w:rsidRPr="00321646" w:rsidRDefault="00321646" w:rsidP="00321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F70">
        <w:rPr>
          <w:rFonts w:ascii="Times New Roman" w:hAnsi="Times New Roman" w:cs="Times New Roman"/>
          <w:b/>
          <w:bCs/>
          <w:sz w:val="24"/>
          <w:szCs w:val="24"/>
        </w:rPr>
        <w:t>7.5</w:t>
      </w:r>
      <w:r w:rsidRPr="00321646">
        <w:rPr>
          <w:rFonts w:ascii="Times New Roman" w:hAnsi="Times New Roman" w:cs="Times New Roman"/>
          <w:sz w:val="24"/>
          <w:szCs w:val="24"/>
        </w:rPr>
        <w:t>. Kurumsal Gizlilik Sözleşmesi</w:t>
      </w:r>
    </w:p>
    <w:sectPr w:rsidR="00291B1D" w:rsidRPr="00321646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1BF3" w14:textId="77777777" w:rsidR="00F45241" w:rsidRDefault="00F45241" w:rsidP="00413AEE">
      <w:pPr>
        <w:spacing w:after="0" w:line="240" w:lineRule="auto"/>
      </w:pPr>
      <w:r>
        <w:separator/>
      </w:r>
    </w:p>
  </w:endnote>
  <w:endnote w:type="continuationSeparator" w:id="0">
    <w:p w14:paraId="6896D720" w14:textId="77777777" w:rsidR="00F45241" w:rsidRDefault="00F45241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9093" w14:textId="77777777" w:rsidR="00BB0F70" w:rsidRDefault="00BB0F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74A5F7A4" w:rsidR="00EF0D5A" w:rsidRDefault="00D4104E" w:rsidP="00EF0D5A">
          <w:pPr>
            <w:pStyle w:val="AltBilgi"/>
            <w:jc w:val="center"/>
          </w:pPr>
          <w:r>
            <w:t>Bilgi İşlem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1DE8B48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D4104E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C16D" w14:textId="77777777" w:rsidR="00BB0F70" w:rsidRDefault="00BB0F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A765" w14:textId="77777777" w:rsidR="00F45241" w:rsidRDefault="00F45241" w:rsidP="00413AEE">
      <w:pPr>
        <w:spacing w:after="0" w:line="240" w:lineRule="auto"/>
      </w:pPr>
      <w:r>
        <w:separator/>
      </w:r>
    </w:p>
  </w:footnote>
  <w:footnote w:type="continuationSeparator" w:id="0">
    <w:p w14:paraId="0C3EF5E1" w14:textId="77777777" w:rsidR="00F45241" w:rsidRDefault="00F45241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F6C2" w14:textId="77777777" w:rsidR="00BB0F70" w:rsidRDefault="00BB0F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6B1A3332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D8234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BY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.PR.0</w:t>
          </w:r>
          <w:r w:rsidR="00BB0F7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1BA8367B" w14:textId="14509E01" w:rsidR="00321646" w:rsidRPr="00321646" w:rsidRDefault="00321646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3216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BİLGİ GÜVENLİĞİ İHLAL OLAYLARI</w:t>
          </w:r>
        </w:p>
        <w:p w14:paraId="2A3C374C" w14:textId="1F3ECBB3" w:rsidR="00AE722C" w:rsidRPr="00EF0D5A" w:rsidRDefault="00321646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3216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3F3D" w14:textId="77777777" w:rsidR="00BB0F70" w:rsidRDefault="00BB0F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6"/>
  </w:num>
  <w:num w:numId="2" w16cid:durableId="763451095">
    <w:abstractNumId w:val="4"/>
  </w:num>
  <w:num w:numId="3" w16cid:durableId="493306111">
    <w:abstractNumId w:val="3"/>
  </w:num>
  <w:num w:numId="4" w16cid:durableId="1103569002">
    <w:abstractNumId w:val="2"/>
  </w:num>
  <w:num w:numId="5" w16cid:durableId="1219126834">
    <w:abstractNumId w:val="5"/>
  </w:num>
  <w:num w:numId="6" w16cid:durableId="159808127">
    <w:abstractNumId w:val="1"/>
  </w:num>
  <w:num w:numId="7" w16cid:durableId="49973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F71C5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21646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2725B"/>
    <w:rsid w:val="00533807"/>
    <w:rsid w:val="005422D5"/>
    <w:rsid w:val="005A0FA7"/>
    <w:rsid w:val="005B07CF"/>
    <w:rsid w:val="005C40D0"/>
    <w:rsid w:val="0063480B"/>
    <w:rsid w:val="00647B04"/>
    <w:rsid w:val="00650167"/>
    <w:rsid w:val="006667FD"/>
    <w:rsid w:val="0069472B"/>
    <w:rsid w:val="00696E42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B766D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E21CA"/>
    <w:rsid w:val="00AE29B9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5571"/>
    <w:rsid w:val="00CB2CAB"/>
    <w:rsid w:val="00CC4B12"/>
    <w:rsid w:val="00CD0903"/>
    <w:rsid w:val="00CD4E2B"/>
    <w:rsid w:val="00CF55BC"/>
    <w:rsid w:val="00D06326"/>
    <w:rsid w:val="00D17FDF"/>
    <w:rsid w:val="00D4104E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17091"/>
    <w:rsid w:val="00E24D9F"/>
    <w:rsid w:val="00E26458"/>
    <w:rsid w:val="00E81BFF"/>
    <w:rsid w:val="00E97403"/>
    <w:rsid w:val="00EA0C24"/>
    <w:rsid w:val="00ED3A19"/>
    <w:rsid w:val="00EF0D5A"/>
    <w:rsid w:val="00F25BA8"/>
    <w:rsid w:val="00F3723A"/>
    <w:rsid w:val="00F45241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2024-08-20T10:59:00Z</dcterms:created>
  <dcterms:modified xsi:type="dcterms:W3CDTF">2024-08-29T13:34:00Z</dcterms:modified>
</cp:coreProperties>
</file>