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C02EF8" w:rsidRPr="009D71AF" w14:paraId="15685181" w14:textId="77777777" w:rsidTr="00C02EF8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89511" w14:textId="73D9E6A2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bookmarkStart w:id="1" w:name="_Hlk89687750"/>
            <w:r w:rsidRPr="009D71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201E91C" wp14:editId="4656161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895350" cy="92392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5B6201" w14:textId="77777777" w:rsidR="00C02EF8" w:rsidRPr="009D71AF" w:rsidRDefault="00C02EF8" w:rsidP="00834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17CB8D05" w14:textId="77777777" w:rsidR="00C02EF8" w:rsidRPr="00834385" w:rsidRDefault="00C02EF8" w:rsidP="00834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</w:t>
            </w:r>
            <w:r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erkezi</w:t>
            </w:r>
          </w:p>
          <w:p w14:paraId="15EC36F3" w14:textId="60DB9814" w:rsidR="00C02EF8" w:rsidRPr="009D71AF" w:rsidRDefault="00834385" w:rsidP="006A1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85">
              <w:rPr>
                <w:rFonts w:ascii="Times New Roman" w:hAnsi="Times New Roman" w:cs="Times New Roman"/>
                <w:b/>
                <w:sz w:val="24"/>
                <w:szCs w:val="24"/>
              </w:rPr>
              <w:t>Döner Sermaye ve Tahakkuk</w:t>
            </w:r>
            <w:r w:rsidR="00C02EF8"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Personeli Görev Tanımı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4BB02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86EE14" w14:textId="1148C13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KKU.GT.01-37</w:t>
            </w:r>
          </w:p>
        </w:tc>
      </w:tr>
      <w:tr w:rsidR="00C02EF8" w:rsidRPr="009D71AF" w14:paraId="5F4BAC8C" w14:textId="77777777" w:rsidTr="00C02EF8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B8C57" w14:textId="77777777" w:rsidR="00C02EF8" w:rsidRPr="009D71AF" w:rsidRDefault="00C02EF8" w:rsidP="006B10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3D492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CEE59E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C02EF8" w:rsidRPr="009D71AF" w14:paraId="3865E5CF" w14:textId="77777777" w:rsidTr="00C02EF8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76201" w14:textId="77777777" w:rsidR="00C02EF8" w:rsidRPr="009D71AF" w:rsidRDefault="00C02EF8" w:rsidP="006B10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7B6D4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5D9D3D" w14:textId="09FE9C72" w:rsidR="00C02EF8" w:rsidRPr="009D71AF" w:rsidRDefault="0099584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F8" w:rsidRPr="009D71AF" w14:paraId="14A0837C" w14:textId="77777777" w:rsidTr="00C02EF8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2E0CF8" w14:textId="77777777" w:rsidR="00C02EF8" w:rsidRPr="009D71AF" w:rsidRDefault="00C02EF8" w:rsidP="006B10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69B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059135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2EF8" w:rsidRPr="009D71AF" w14:paraId="4979F253" w14:textId="77777777" w:rsidTr="00C02EF8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0EECE" w14:textId="77777777" w:rsidR="00C02EF8" w:rsidRPr="009D71AF" w:rsidRDefault="00C02EF8" w:rsidP="006B10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364EF9" w14:textId="77777777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805CEF" w14:textId="5EB8C04C" w:rsidR="00C02EF8" w:rsidRPr="009D71AF" w:rsidRDefault="00C02EF8" w:rsidP="006B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9958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bookmarkEnd w:id="0"/>
      </w:tr>
    </w:tbl>
    <w:tbl>
      <w:tblPr>
        <w:tblpPr w:leftFromText="141" w:rightFromText="141" w:vertAnchor="text" w:horzAnchor="margin" w:tblpXSpec="center" w:tblpY="1589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C02EF8" w:rsidRPr="009D71AF" w14:paraId="3CD70CF1" w14:textId="77777777" w:rsidTr="008C2551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1"/>
          <w:p w14:paraId="14776D95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9D71AF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D71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9D71A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3B296" w14:textId="5F7A0F11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Diş He</w:t>
            </w:r>
            <w:r w:rsidRPr="009D7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71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9D7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7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7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D71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D71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9D71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D71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D71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31D16" w:rsidRPr="009D71A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9D71AF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C02EF8" w:rsidRPr="009D71AF" w14:paraId="1C42B2CD" w14:textId="77777777" w:rsidTr="008C2551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85B56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D71AF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</w:t>
            </w:r>
            <w:r w:rsidRPr="009D71AF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4"/>
                <w:szCs w:val="24"/>
              </w:rPr>
              <w:t>d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4A74B" w14:textId="55D94C02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Döner Sermaye ve Tahakkuk Personeli</w:t>
            </w:r>
          </w:p>
        </w:tc>
      </w:tr>
      <w:tr w:rsidR="00C02EF8" w:rsidRPr="009D71AF" w14:paraId="6A6E4CAA" w14:textId="77777777" w:rsidTr="008C2551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2320C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Amir 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Ü</w:t>
            </w:r>
            <w:r w:rsidRPr="009D71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9D71AF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D71AF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>m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D71AF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D71A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9D71A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9D71AF">
              <w:rPr>
                <w:rFonts w:ascii="Times New Roman" w:hAnsi="Times New Roman" w:cs="Times New Roman"/>
                <w:b/>
                <w:bCs/>
                <w:w w:val="133"/>
                <w:sz w:val="24"/>
                <w:szCs w:val="24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CC74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Hastane Müdürü-Fakülte Sekreteri- Merkez Müdürü (Başhekim)-Dekan</w:t>
            </w:r>
          </w:p>
        </w:tc>
      </w:tr>
      <w:tr w:rsidR="00C02EF8" w:rsidRPr="009D71AF" w14:paraId="583F386F" w14:textId="77777777" w:rsidTr="008C2551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FFD63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9D71AF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Dev</w:t>
            </w:r>
            <w:r w:rsidRPr="009D71AF">
              <w:rPr>
                <w:rFonts w:ascii="Times New Roman" w:hAnsi="Times New Roman" w:cs="Times New Roman"/>
                <w:b/>
                <w:bCs/>
                <w:spacing w:val="-3"/>
                <w:w w:val="133"/>
                <w:sz w:val="24"/>
                <w:szCs w:val="24"/>
              </w:rPr>
              <w:t>r</w:t>
            </w:r>
            <w:r w:rsidRPr="009D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87A75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sz w:val="24"/>
                <w:szCs w:val="24"/>
              </w:rPr>
              <w:t>Üst Yöneticinin</w:t>
            </w:r>
          </w:p>
          <w:tbl>
            <w:tblPr>
              <w:tblpPr w:leftFromText="141" w:rightFromText="141" w:vertAnchor="text" w:horzAnchor="margin" w:tblpXSpec="center" w:tblpY="-6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C02EF8" w:rsidRPr="009D71AF" w14:paraId="05D116E7" w14:textId="77777777" w:rsidTr="008C2551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EEBCE2" w14:textId="77777777" w:rsidR="00C02EF8" w:rsidRPr="009D71AF" w:rsidRDefault="00C02EF8" w:rsidP="006B1051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1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Amiri tarafından görevlendirilen başka personel</w:t>
                  </w:r>
                </w:p>
              </w:tc>
            </w:tr>
          </w:tbl>
          <w:p w14:paraId="41684581" w14:textId="77777777" w:rsidR="00C02EF8" w:rsidRPr="009D71AF" w:rsidRDefault="00C02EF8" w:rsidP="006B1051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F7B3D" w14:textId="7AF52A4B" w:rsidR="0066274D" w:rsidRPr="009D71AF" w:rsidRDefault="0066274D" w:rsidP="006B1051">
      <w:pPr>
        <w:rPr>
          <w:rFonts w:ascii="Times New Roman" w:hAnsi="Times New Roman" w:cs="Times New Roman"/>
          <w:sz w:val="24"/>
          <w:szCs w:val="24"/>
        </w:rPr>
      </w:pPr>
    </w:p>
    <w:p w14:paraId="0877740D" w14:textId="77777777" w:rsidR="00C02EF8" w:rsidRPr="009D71AF" w:rsidRDefault="00C02EF8" w:rsidP="006B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1AF">
        <w:rPr>
          <w:rFonts w:ascii="Times New Roman" w:hAnsi="Times New Roman" w:cs="Times New Roman"/>
          <w:b/>
          <w:color w:val="000000"/>
          <w:sz w:val="24"/>
          <w:szCs w:val="24"/>
        </w:rPr>
        <w:t>GÖREV AMACI:</w:t>
      </w:r>
    </w:p>
    <w:p w14:paraId="69ABC3C1" w14:textId="77777777" w:rsidR="00C02EF8" w:rsidRPr="009D71AF" w:rsidRDefault="00C02EF8" w:rsidP="006B1051">
      <w:pPr>
        <w:spacing w:after="100" w:afterAutospacing="1" w:line="256" w:lineRule="auto"/>
        <w:ind w:left="-680"/>
        <w:rPr>
          <w:rFonts w:ascii="Times New Roman" w:hAnsi="Times New Roman" w:cs="Times New Roman"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 xml:space="preserve">             Aşağıda tanımlanan sorumluluğunda bulunan görevleri eksiksiz yerine getirerek.</w:t>
      </w:r>
    </w:p>
    <w:p w14:paraId="7D81A351" w14:textId="74EA8A94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AF">
        <w:rPr>
          <w:rFonts w:ascii="Times New Roman" w:hAnsi="Times New Roman" w:cs="Times New Roman"/>
          <w:b/>
          <w:bCs/>
          <w:sz w:val="24"/>
          <w:szCs w:val="24"/>
        </w:rPr>
        <w:t xml:space="preserve">GÖREV, YETKİ VE </w:t>
      </w:r>
      <w:proofErr w:type="gramStart"/>
      <w:r w:rsidRPr="009D71AF">
        <w:rPr>
          <w:rFonts w:ascii="Times New Roman" w:hAnsi="Times New Roman" w:cs="Times New Roman"/>
          <w:b/>
          <w:bCs/>
          <w:sz w:val="24"/>
          <w:szCs w:val="24"/>
        </w:rPr>
        <w:t>SORUMLULUKLARI :</w:t>
      </w:r>
      <w:proofErr w:type="gramEnd"/>
    </w:p>
    <w:p w14:paraId="6CBB827A" w14:textId="366C59E9" w:rsidR="00834385" w:rsidRDefault="009D71AF" w:rsidP="006B105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7BCB" w:rsidRPr="009D71AF">
        <w:rPr>
          <w:rFonts w:ascii="Times New Roman" w:hAnsi="Times New Roman" w:cs="Times New Roman"/>
          <w:sz w:val="24"/>
          <w:szCs w:val="24"/>
        </w:rPr>
        <w:t xml:space="preserve">Fakülte yönetimi tarafından belirlenmiş olan kıyafetleri giyer ve yaka kartlarını takar.                             </w:t>
      </w:r>
      <w:r w:rsidR="008040AA" w:rsidRPr="009D71AF">
        <w:rPr>
          <w:rFonts w:ascii="Times New Roman" w:hAnsi="Times New Roman" w:cs="Times New Roman"/>
          <w:sz w:val="24"/>
          <w:szCs w:val="24"/>
        </w:rPr>
        <w:t>2.</w:t>
      </w:r>
      <w:r w:rsidR="00C02EF8" w:rsidRPr="009D71AF">
        <w:rPr>
          <w:rFonts w:ascii="Times New Roman" w:hAnsi="Times New Roman" w:cs="Times New Roman"/>
          <w:sz w:val="24"/>
          <w:szCs w:val="24"/>
        </w:rPr>
        <w:t>Fakülte personellerinin maaşlarını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ve maaş </w:t>
      </w:r>
      <w:proofErr w:type="gramStart"/>
      <w:r w:rsidR="00C02EF8" w:rsidRPr="009D71AF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C02EF8" w:rsidRPr="009D71AF">
        <w:rPr>
          <w:rFonts w:ascii="Times New Roman" w:hAnsi="Times New Roman" w:cs="Times New Roman"/>
          <w:sz w:val="24"/>
          <w:szCs w:val="24"/>
        </w:rPr>
        <w:t xml:space="preserve"> ödenen sabit ek ödemeleri için her ayın en geç 15'inde ödemesi yapılacak şekilde gerekli bilgi ve verileri hazırlayarak işlemlerini sonlandır</w:t>
      </w:r>
      <w:r>
        <w:rPr>
          <w:rFonts w:ascii="Times New Roman" w:hAnsi="Times New Roman" w:cs="Times New Roman"/>
          <w:sz w:val="24"/>
          <w:szCs w:val="24"/>
        </w:rPr>
        <w:t>ır.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</w:t>
      </w:r>
      <w:r w:rsidR="00A17BCB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040AA" w:rsidRPr="009D71AF">
        <w:rPr>
          <w:rFonts w:ascii="Times New Roman" w:hAnsi="Times New Roman" w:cs="Times New Roman"/>
          <w:sz w:val="24"/>
          <w:szCs w:val="24"/>
        </w:rPr>
        <w:t>3</w:t>
      </w:r>
      <w:r w:rsidR="00A17BCB" w:rsidRPr="009D71AF">
        <w:rPr>
          <w:rFonts w:ascii="Times New Roman" w:hAnsi="Times New Roman" w:cs="Times New Roman"/>
          <w:sz w:val="24"/>
          <w:szCs w:val="24"/>
        </w:rPr>
        <w:t xml:space="preserve">. 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ayın sonunda o aya ait performans bilgileri ve diğer veriler bordroda oluşturularak “Yükseköğretim Kurumlarında Döner Sermaye Gelirlerinden Yapılacak Ek Ödemenin Dağıtılmasında Uygulanacak Usul ve Esaslara İlişkin Yönetmelik” ve “</w:t>
      </w:r>
      <w:r>
        <w:rPr>
          <w:rFonts w:ascii="Times New Roman" w:hAnsi="Times New Roman" w:cs="Times New Roman"/>
          <w:sz w:val="24"/>
          <w:szCs w:val="24"/>
        </w:rPr>
        <w:t xml:space="preserve">Alanya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Keykubat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Üniversitesi Uygulama ve Araştırma Merkezi Döner Sermaye Gelirlerinden Yapılacak Ek Ödemenin Dağıtılmasında Uyulacak Usul ve Esaslar” göre hesaplama yapılarak döner sermaye (ek ödeme) ödemesi ile ilgili işlemleri yap</w:t>
      </w:r>
      <w:r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8040AA" w:rsidRPr="009D71AF">
        <w:rPr>
          <w:rFonts w:ascii="Times New Roman" w:hAnsi="Times New Roman" w:cs="Times New Roman"/>
          <w:sz w:val="24"/>
          <w:szCs w:val="24"/>
        </w:rPr>
        <w:t>4</w:t>
      </w:r>
      <w:r w:rsidR="00A17BCB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 performans ödemesi için maaş, sabit ek ödemeleri, ek ders matrahlarını gir</w:t>
      </w:r>
      <w:r>
        <w:rPr>
          <w:rFonts w:ascii="Times New Roman" w:hAnsi="Times New Roman" w:cs="Times New Roman"/>
          <w:sz w:val="24"/>
          <w:szCs w:val="24"/>
        </w:rPr>
        <w:t>er.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0AA" w:rsidRPr="009D71AF">
        <w:rPr>
          <w:rFonts w:ascii="Times New Roman" w:hAnsi="Times New Roman" w:cs="Times New Roman"/>
          <w:sz w:val="24"/>
          <w:szCs w:val="24"/>
        </w:rPr>
        <w:t>5</w:t>
      </w:r>
      <w:r w:rsidR="00A17BCB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 Geçici Personel ve Döner Sermayeden Maaş alanların maliyet masraflarını gir</w:t>
      </w:r>
      <w:r>
        <w:rPr>
          <w:rFonts w:ascii="Times New Roman" w:hAnsi="Times New Roman" w:cs="Times New Roman"/>
          <w:sz w:val="24"/>
          <w:szCs w:val="24"/>
        </w:rPr>
        <w:t>er.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40AA" w:rsidRPr="009D71AF">
        <w:rPr>
          <w:rFonts w:ascii="Times New Roman" w:hAnsi="Times New Roman" w:cs="Times New Roman"/>
          <w:sz w:val="24"/>
          <w:szCs w:val="24"/>
        </w:rPr>
        <w:t>6</w:t>
      </w:r>
      <w:r w:rsidR="00A17BCB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 performans ödemesi için personellerin izinlerini kontrol e</w:t>
      </w:r>
      <w:r w:rsidR="00834385">
        <w:rPr>
          <w:rFonts w:ascii="Times New Roman" w:hAnsi="Times New Roman" w:cs="Times New Roman"/>
          <w:sz w:val="24"/>
          <w:szCs w:val="24"/>
        </w:rPr>
        <w:t>der</w:t>
      </w:r>
      <w:r w:rsidR="00C02EF8" w:rsidRPr="009D71AF">
        <w:rPr>
          <w:rFonts w:ascii="Times New Roman" w:hAnsi="Times New Roman" w:cs="Times New Roman"/>
          <w:sz w:val="24"/>
          <w:szCs w:val="24"/>
        </w:rPr>
        <w:t>,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8040AA" w:rsidRPr="009D71AF">
        <w:rPr>
          <w:rFonts w:ascii="Times New Roman" w:hAnsi="Times New Roman" w:cs="Times New Roman"/>
          <w:sz w:val="24"/>
          <w:szCs w:val="24"/>
        </w:rPr>
        <w:t>7.</w:t>
      </w:r>
      <w:r w:rsidR="00C02EF8" w:rsidRPr="009D71AF">
        <w:rPr>
          <w:rFonts w:ascii="Times New Roman" w:hAnsi="Times New Roman" w:cs="Times New Roman"/>
          <w:sz w:val="24"/>
          <w:szCs w:val="24"/>
        </w:rPr>
        <w:t>Her</w:t>
      </w:r>
      <w:r w:rsidR="006B1051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C02EF8" w:rsidRPr="009D71AF">
        <w:rPr>
          <w:rFonts w:ascii="Times New Roman" w:hAnsi="Times New Roman" w:cs="Times New Roman"/>
          <w:sz w:val="24"/>
          <w:szCs w:val="24"/>
        </w:rPr>
        <w:t>ay bölümlerin giderlerini kontrol e</w:t>
      </w:r>
      <w:r w:rsidR="00834385">
        <w:rPr>
          <w:rFonts w:ascii="Times New Roman" w:hAnsi="Times New Roman" w:cs="Times New Roman"/>
          <w:sz w:val="24"/>
          <w:szCs w:val="24"/>
        </w:rPr>
        <w:t>der</w:t>
      </w:r>
      <w:r w:rsidR="00C02EF8" w:rsidRPr="009D71AF">
        <w:rPr>
          <w:rFonts w:ascii="Times New Roman" w:hAnsi="Times New Roman" w:cs="Times New Roman"/>
          <w:sz w:val="24"/>
          <w:szCs w:val="24"/>
        </w:rPr>
        <w:t>,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C02EF8" w:rsidRPr="009D71AF">
        <w:rPr>
          <w:rFonts w:ascii="Times New Roman" w:hAnsi="Times New Roman" w:cs="Times New Roman"/>
          <w:sz w:val="24"/>
          <w:szCs w:val="24"/>
        </w:rPr>
        <w:t>Performans ödenmesi için gelirleri kontrol e</w:t>
      </w:r>
      <w:r w:rsidR="00834385">
        <w:rPr>
          <w:rFonts w:ascii="Times New Roman" w:hAnsi="Times New Roman" w:cs="Times New Roman"/>
          <w:sz w:val="24"/>
          <w:szCs w:val="24"/>
        </w:rPr>
        <w:t>der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,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34385">
        <w:rPr>
          <w:rFonts w:ascii="Times New Roman" w:hAnsi="Times New Roman" w:cs="Times New Roman"/>
          <w:sz w:val="24"/>
          <w:szCs w:val="24"/>
        </w:rPr>
        <w:t>9</w:t>
      </w:r>
      <w:r w:rsidR="008040AA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 yönetici payı ödemesinin yapılması için gelir gidere bak</w:t>
      </w:r>
      <w:r w:rsidR="00834385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834385">
        <w:rPr>
          <w:rFonts w:ascii="Times New Roman" w:hAnsi="Times New Roman" w:cs="Times New Roman"/>
          <w:sz w:val="24"/>
          <w:szCs w:val="24"/>
        </w:rPr>
        <w:t>10</w:t>
      </w:r>
      <w:r w:rsidR="006B1051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Her ay yönetici payı ödemesinin yapılması için ilgili işlemleri yap</w:t>
      </w:r>
      <w:r w:rsidR="00834385">
        <w:rPr>
          <w:rFonts w:ascii="Times New Roman" w:hAnsi="Times New Roman" w:cs="Times New Roman"/>
          <w:sz w:val="24"/>
          <w:szCs w:val="24"/>
        </w:rPr>
        <w:t>ar.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B1051" w:rsidRPr="009D71AF">
        <w:rPr>
          <w:rFonts w:ascii="Times New Roman" w:hAnsi="Times New Roman" w:cs="Times New Roman"/>
          <w:sz w:val="24"/>
          <w:szCs w:val="24"/>
        </w:rPr>
        <w:t>1</w:t>
      </w:r>
      <w:r w:rsidR="00834385">
        <w:rPr>
          <w:rFonts w:ascii="Times New Roman" w:hAnsi="Times New Roman" w:cs="Times New Roman"/>
          <w:sz w:val="24"/>
          <w:szCs w:val="24"/>
        </w:rPr>
        <w:t>1</w:t>
      </w:r>
      <w:r w:rsidR="006B1051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Performans, sabit ek ödemeler ve yönetici payı için hesaplanan bordroları Excel dosyasına aktar</w:t>
      </w:r>
      <w:r w:rsidR="00834385">
        <w:rPr>
          <w:rFonts w:ascii="Times New Roman" w:hAnsi="Times New Roman" w:cs="Times New Roman"/>
          <w:sz w:val="24"/>
          <w:szCs w:val="24"/>
        </w:rPr>
        <w:t>ır.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6B1051" w:rsidRPr="009D71AF">
        <w:rPr>
          <w:rFonts w:ascii="Times New Roman" w:hAnsi="Times New Roman" w:cs="Times New Roman"/>
          <w:sz w:val="24"/>
          <w:szCs w:val="24"/>
        </w:rPr>
        <w:t>1</w:t>
      </w:r>
      <w:r w:rsidR="00834385">
        <w:rPr>
          <w:rFonts w:ascii="Times New Roman" w:hAnsi="Times New Roman" w:cs="Times New Roman"/>
          <w:sz w:val="24"/>
          <w:szCs w:val="24"/>
        </w:rPr>
        <w:t>2</w:t>
      </w:r>
      <w:r w:rsidR="006B1051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Performans ödemesi için ödeme emri, banka listesi, bordroları ve icra listesini çıkartarak imzaya sun</w:t>
      </w:r>
      <w:r w:rsidR="00834385">
        <w:rPr>
          <w:rFonts w:ascii="Times New Roman" w:hAnsi="Times New Roman" w:cs="Times New Roman"/>
          <w:sz w:val="24"/>
          <w:szCs w:val="24"/>
        </w:rPr>
        <w:t>ar</w:t>
      </w:r>
      <w:r w:rsidR="00C02EF8" w:rsidRPr="009D71AF">
        <w:rPr>
          <w:rFonts w:ascii="Times New Roman" w:hAnsi="Times New Roman" w:cs="Times New Roman"/>
          <w:sz w:val="24"/>
          <w:szCs w:val="24"/>
        </w:rPr>
        <w:t>, imzadan sonra döner sermaye işletmeye teslim e</w:t>
      </w:r>
      <w:r w:rsidR="00834385">
        <w:rPr>
          <w:rFonts w:ascii="Times New Roman" w:hAnsi="Times New Roman" w:cs="Times New Roman"/>
          <w:sz w:val="24"/>
          <w:szCs w:val="24"/>
        </w:rPr>
        <w:t>der.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6B1051" w:rsidRPr="009D71AF">
        <w:rPr>
          <w:rFonts w:ascii="Times New Roman" w:hAnsi="Times New Roman" w:cs="Times New Roman"/>
          <w:sz w:val="24"/>
          <w:szCs w:val="24"/>
        </w:rPr>
        <w:t>1</w:t>
      </w:r>
      <w:r w:rsidR="009926A8">
        <w:rPr>
          <w:rFonts w:ascii="Times New Roman" w:hAnsi="Times New Roman" w:cs="Times New Roman"/>
          <w:sz w:val="24"/>
          <w:szCs w:val="24"/>
        </w:rPr>
        <w:t>3</w:t>
      </w:r>
      <w:r w:rsidR="006B1051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Zorunlu hekim sigortaları toplayıp bordro hesaplama programına gir</w:t>
      </w:r>
      <w:r w:rsidR="00834385">
        <w:rPr>
          <w:rFonts w:ascii="Times New Roman" w:hAnsi="Times New Roman" w:cs="Times New Roman"/>
          <w:sz w:val="24"/>
          <w:szCs w:val="24"/>
        </w:rPr>
        <w:t>er.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B1051" w:rsidRPr="009D71AF">
        <w:rPr>
          <w:rFonts w:ascii="Times New Roman" w:hAnsi="Times New Roman" w:cs="Times New Roman"/>
          <w:sz w:val="24"/>
          <w:szCs w:val="24"/>
        </w:rPr>
        <w:t>1</w:t>
      </w:r>
      <w:r w:rsidR="009926A8">
        <w:rPr>
          <w:rFonts w:ascii="Times New Roman" w:hAnsi="Times New Roman" w:cs="Times New Roman"/>
          <w:sz w:val="24"/>
          <w:szCs w:val="24"/>
        </w:rPr>
        <w:t>4</w:t>
      </w:r>
      <w:r w:rsidR="006B1051" w:rsidRPr="009D71AF"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Zorunlu hekim sigortasının ödenmesi için banka listesini hazırla</w:t>
      </w:r>
      <w:r w:rsidR="00834385">
        <w:rPr>
          <w:rFonts w:ascii="Times New Roman" w:hAnsi="Times New Roman" w:cs="Times New Roman"/>
          <w:sz w:val="24"/>
          <w:szCs w:val="24"/>
        </w:rPr>
        <w:t>r</w:t>
      </w:r>
      <w:r w:rsidR="00C02EF8" w:rsidRPr="009D71AF">
        <w:rPr>
          <w:rFonts w:ascii="Times New Roman" w:hAnsi="Times New Roman" w:cs="Times New Roman"/>
          <w:sz w:val="24"/>
          <w:szCs w:val="24"/>
        </w:rPr>
        <w:t>, bordro ve banka listesini alıp ödeme emri nak</w:t>
      </w:r>
      <w:r w:rsidR="00F45750">
        <w:rPr>
          <w:rFonts w:ascii="Times New Roman" w:hAnsi="Times New Roman" w:cs="Times New Roman"/>
          <w:sz w:val="24"/>
          <w:szCs w:val="24"/>
        </w:rPr>
        <w:t xml:space="preserve">it </w:t>
      </w:r>
      <w:r w:rsidR="00C02EF8" w:rsidRPr="009D71AF">
        <w:rPr>
          <w:rFonts w:ascii="Times New Roman" w:hAnsi="Times New Roman" w:cs="Times New Roman"/>
          <w:sz w:val="24"/>
          <w:szCs w:val="24"/>
        </w:rPr>
        <w:t>ini kes</w:t>
      </w:r>
      <w:r w:rsidR="00834385">
        <w:rPr>
          <w:rFonts w:ascii="Times New Roman" w:hAnsi="Times New Roman" w:cs="Times New Roman"/>
          <w:sz w:val="24"/>
          <w:szCs w:val="24"/>
        </w:rPr>
        <w:t>er</w:t>
      </w:r>
      <w:r w:rsidR="00C02EF8" w:rsidRPr="009D71AF">
        <w:rPr>
          <w:rFonts w:ascii="Times New Roman" w:hAnsi="Times New Roman" w:cs="Times New Roman"/>
          <w:sz w:val="24"/>
          <w:szCs w:val="24"/>
        </w:rPr>
        <w:t>, evraklar imzalatılıp ayrılarak Döner Sermaye İşletmesine teslim e</w:t>
      </w:r>
      <w:r w:rsidR="00834385">
        <w:rPr>
          <w:rFonts w:ascii="Times New Roman" w:hAnsi="Times New Roman" w:cs="Times New Roman"/>
          <w:sz w:val="24"/>
          <w:szCs w:val="24"/>
        </w:rPr>
        <w:t>der</w:t>
      </w:r>
      <w:r w:rsidR="00992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6A8">
        <w:rPr>
          <w:rFonts w:ascii="Times New Roman" w:hAnsi="Times New Roman" w:cs="Times New Roman"/>
          <w:sz w:val="24"/>
          <w:szCs w:val="24"/>
        </w:rPr>
        <w:t>15.</w:t>
      </w:r>
      <w:r w:rsidR="009926A8" w:rsidRPr="009D71AF">
        <w:rPr>
          <w:rFonts w:ascii="Times New Roman" w:hAnsi="Times New Roman" w:cs="Times New Roman"/>
          <w:sz w:val="24"/>
          <w:szCs w:val="24"/>
        </w:rPr>
        <w:t>Fakülte personellerinden gelecek olan, aile durum bildirimi, ölüm, doğum, evlilik gibi beyanları alarak ilgili işlemleri gerçekleştirmek üzere KBS ve programa girişini sağla</w:t>
      </w:r>
      <w:r w:rsidR="009926A8">
        <w:rPr>
          <w:rFonts w:ascii="Times New Roman" w:hAnsi="Times New Roman" w:cs="Times New Roman"/>
          <w:sz w:val="24"/>
          <w:szCs w:val="24"/>
        </w:rPr>
        <w:t>r.</w:t>
      </w:r>
      <w:r w:rsidR="009926A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343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EF8" w:rsidRPr="009D71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15CF" w14:textId="31CBA20F" w:rsidR="006A4491" w:rsidRPr="006A4491" w:rsidRDefault="006A4491" w:rsidP="006A4491">
      <w:pPr>
        <w:rPr>
          <w:rFonts w:ascii="Times New Roman" w:hAnsi="Times New Roman" w:cs="Times New Roman"/>
          <w:sz w:val="24"/>
          <w:szCs w:val="24"/>
        </w:rPr>
      </w:pPr>
    </w:p>
    <w:p w14:paraId="6C14D6AA" w14:textId="77777777" w:rsidR="006A4491" w:rsidRPr="006A4491" w:rsidRDefault="006A4491" w:rsidP="006A449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523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834385" w:rsidRPr="009D71AF" w14:paraId="3AC585FE" w14:textId="77777777" w:rsidTr="00834385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5355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B5897B1" wp14:editId="6C9F983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895350" cy="9525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CADE8" w14:textId="77777777" w:rsidR="00834385" w:rsidRPr="009D71AF" w:rsidRDefault="00834385" w:rsidP="00834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4BA888CE" w14:textId="77777777" w:rsidR="00834385" w:rsidRPr="009D71AF" w:rsidRDefault="00834385" w:rsidP="008343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41197548" w14:textId="41A05FA9" w:rsidR="00834385" w:rsidRPr="009D71AF" w:rsidRDefault="00834385" w:rsidP="006A1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Döner Sermaye ve Tahakkuk </w:t>
            </w:r>
            <w:r w:rsidRPr="0083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Personeli Görev Tanımı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B520F4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BDE34B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KKU.GT.01-37</w:t>
            </w:r>
          </w:p>
        </w:tc>
      </w:tr>
      <w:tr w:rsidR="00834385" w:rsidRPr="009D71AF" w14:paraId="29AD4CCF" w14:textId="77777777" w:rsidTr="00834385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B241A2" w14:textId="77777777" w:rsidR="00834385" w:rsidRPr="009D71AF" w:rsidRDefault="00834385" w:rsidP="008343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8CADF5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A5C22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834385" w:rsidRPr="009D71AF" w14:paraId="5CA39DF7" w14:textId="77777777" w:rsidTr="00834385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86D79" w14:textId="77777777" w:rsidR="00834385" w:rsidRPr="009D71AF" w:rsidRDefault="00834385" w:rsidP="008343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3CB7B6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0AB98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85" w:rsidRPr="009D71AF" w14:paraId="4DCB5B0D" w14:textId="77777777" w:rsidTr="00834385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FEBF8" w14:textId="77777777" w:rsidR="00834385" w:rsidRPr="009D71AF" w:rsidRDefault="00834385" w:rsidP="008343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3C3767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2627A3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385" w:rsidRPr="009D71AF" w14:paraId="242DC7D9" w14:textId="77777777" w:rsidTr="00834385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0DC77" w14:textId="77777777" w:rsidR="00834385" w:rsidRPr="009D71AF" w:rsidRDefault="00834385" w:rsidP="008343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C6736F" w14:textId="77777777" w:rsidR="00834385" w:rsidRPr="009D71AF" w:rsidRDefault="00834385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737A1" w14:textId="46B199E5" w:rsidR="00834385" w:rsidRPr="009D71AF" w:rsidRDefault="00995848" w:rsidP="00834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4385"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A9A0E30" w14:textId="38177DAB" w:rsidR="009D71AF" w:rsidRDefault="009D71AF" w:rsidP="009D71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26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EF8" w:rsidRPr="009D71AF">
        <w:rPr>
          <w:rFonts w:ascii="Times New Roman" w:hAnsi="Times New Roman" w:cs="Times New Roman"/>
          <w:sz w:val="24"/>
          <w:szCs w:val="24"/>
        </w:rPr>
        <w:t>Maaşlar ile ilgili katsayı değişikliklerini, terfiler, raporlar vb. işlemleri “Strateji Geliştirme Dairesi” ile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koordineli çalışarak sonuçlandır</w:t>
      </w:r>
      <w:r w:rsidR="00834385">
        <w:rPr>
          <w:rFonts w:ascii="Times New Roman" w:hAnsi="Times New Roman" w:cs="Times New Roman"/>
          <w:sz w:val="24"/>
          <w:szCs w:val="24"/>
        </w:rPr>
        <w:t>ır.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Fiili hizmet tazminatı ile ilgili işlemleri </w:t>
      </w:r>
      <w:r w:rsidR="006A176E">
        <w:rPr>
          <w:rFonts w:ascii="Times New Roman" w:hAnsi="Times New Roman" w:cs="Times New Roman"/>
          <w:sz w:val="24"/>
          <w:szCs w:val="24"/>
        </w:rPr>
        <w:t>ve her türlü SGK prim ödemelerini yapar.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Ek ödenek ve ödenek aktarım işlerini yap</w:t>
      </w:r>
      <w:r w:rsidR="008F2CE9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Yeteri kadar ödenek olup olmadığını kontrol ederek gerekli tedbirleri al</w:t>
      </w:r>
      <w:r w:rsidR="008F2CE9">
        <w:rPr>
          <w:rFonts w:ascii="Times New Roman" w:hAnsi="Times New Roman" w:cs="Times New Roman"/>
          <w:sz w:val="24"/>
          <w:szCs w:val="24"/>
        </w:rPr>
        <w:t>ır.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Ödeme ile ilgili evrakların asıl veya onaylı suretlerini Strateji Daire Başkanlığına veya döner sermaye işletme müdürlüğüne teslim etmek. Belgelerin bir nüshasını dosyasında arşivle</w:t>
      </w:r>
      <w:r w:rsidR="008F2CE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2</w:t>
      </w:r>
      <w:r w:rsidR="00992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Personellere fazla ve yersiz ödemelere ait kişi borcu için borç onayı belgelerini düzenle</w:t>
      </w:r>
      <w:r w:rsidR="008F2CE9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2</w:t>
      </w:r>
      <w:r w:rsidR="009926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Fakülte bütçesi hazırlıklarına yardımcı ol</w:t>
      </w:r>
      <w:r w:rsidR="008F2CE9">
        <w:rPr>
          <w:rFonts w:ascii="Times New Roman" w:hAnsi="Times New Roman" w:cs="Times New Roman"/>
          <w:sz w:val="24"/>
          <w:szCs w:val="24"/>
        </w:rPr>
        <w:t>ur.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Mali işlere ait her türlü yazışmaları yap</w:t>
      </w:r>
      <w:r w:rsidR="008F2CE9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Akademik ve İdari Personelin fazla mesai işlemlerini yap</w:t>
      </w:r>
      <w:r w:rsidR="008F2CE9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Ön mali kontrol işlemi gerektiren evraklarının hazırlanması takibini yap</w:t>
      </w:r>
      <w:r w:rsidR="008F2CE9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Üçer aylık dönemlerde serbest bırakılan bütçe ödeneklerinin takibini yap</w:t>
      </w:r>
      <w:r w:rsidR="008F2CE9">
        <w:rPr>
          <w:rFonts w:ascii="Times New Roman" w:hAnsi="Times New Roman" w:cs="Times New Roman"/>
          <w:sz w:val="24"/>
          <w:szCs w:val="24"/>
        </w:rPr>
        <w:t>ar.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2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Personelin icra, ikraz gibi kesintilere ilişkin hesaplarını tut</w:t>
      </w:r>
      <w:r w:rsidR="008F2CE9">
        <w:rPr>
          <w:rFonts w:ascii="Times New Roman" w:hAnsi="Times New Roman" w:cs="Times New Roman"/>
          <w:sz w:val="24"/>
          <w:szCs w:val="24"/>
        </w:rPr>
        <w:t>ar</w:t>
      </w:r>
      <w:r w:rsidR="0028686D" w:rsidRPr="009D71AF">
        <w:rPr>
          <w:rFonts w:ascii="Times New Roman" w:hAnsi="Times New Roman" w:cs="Times New Roman"/>
          <w:sz w:val="24"/>
          <w:szCs w:val="24"/>
        </w:rPr>
        <w:t>, bu kesintiler ile ilgili işleri yap</w:t>
      </w:r>
      <w:r w:rsidR="008F2CE9">
        <w:rPr>
          <w:rFonts w:ascii="Times New Roman" w:hAnsi="Times New Roman" w:cs="Times New Roman"/>
          <w:sz w:val="24"/>
          <w:szCs w:val="24"/>
        </w:rPr>
        <w:t>ar</w:t>
      </w:r>
      <w:r w:rsidR="0028686D" w:rsidRPr="009D71AF">
        <w:rPr>
          <w:rFonts w:ascii="Times New Roman" w:hAnsi="Times New Roman" w:cs="Times New Roman"/>
          <w:sz w:val="24"/>
          <w:szCs w:val="24"/>
        </w:rPr>
        <w:t>, sonuçlandır</w:t>
      </w:r>
      <w:r w:rsidR="008F2CE9">
        <w:rPr>
          <w:rFonts w:ascii="Times New Roman" w:hAnsi="Times New Roman" w:cs="Times New Roman"/>
          <w:sz w:val="24"/>
          <w:szCs w:val="24"/>
        </w:rPr>
        <w:t>arak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ve ilgili birimlere ilet</w:t>
      </w:r>
      <w:r w:rsidR="008F2CE9">
        <w:rPr>
          <w:rFonts w:ascii="Times New Roman" w:hAnsi="Times New Roman" w:cs="Times New Roman"/>
          <w:sz w:val="24"/>
          <w:szCs w:val="24"/>
        </w:rPr>
        <w:t>ir</w:t>
      </w:r>
      <w:r w:rsidR="009926A8">
        <w:rPr>
          <w:rFonts w:ascii="Times New Roman" w:hAnsi="Times New Roman" w:cs="Times New Roman"/>
          <w:sz w:val="24"/>
          <w:szCs w:val="24"/>
        </w:rPr>
        <w:t>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>28.</w:t>
      </w:r>
      <w:r w:rsidR="0028686D" w:rsidRPr="009D71AF">
        <w:rPr>
          <w:rFonts w:ascii="Times New Roman" w:hAnsi="Times New Roman" w:cs="Times New Roman"/>
          <w:sz w:val="24"/>
          <w:szCs w:val="24"/>
        </w:rPr>
        <w:t>Giderlerin kanun, yönetmelik bütçe tertiplerine vb. uygun olmasını, maddi hata bulunmamasını sağla</w:t>
      </w:r>
      <w:r w:rsidR="008F2CE9">
        <w:rPr>
          <w:rFonts w:ascii="Times New Roman" w:hAnsi="Times New Roman" w:cs="Times New Roman"/>
          <w:sz w:val="24"/>
          <w:szCs w:val="24"/>
        </w:rPr>
        <w:t>r</w:t>
      </w:r>
      <w:r w:rsidR="009926A8">
        <w:rPr>
          <w:rFonts w:ascii="Times New Roman" w:hAnsi="Times New Roman" w:cs="Times New Roman"/>
          <w:sz w:val="24"/>
          <w:szCs w:val="24"/>
        </w:rPr>
        <w:t>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9926A8">
        <w:rPr>
          <w:rFonts w:ascii="Times New Roman" w:hAnsi="Times New Roman" w:cs="Times New Roman"/>
          <w:sz w:val="24"/>
          <w:szCs w:val="24"/>
        </w:rPr>
        <w:t>29.</w:t>
      </w:r>
      <w:r w:rsidR="0028686D" w:rsidRPr="009D71AF">
        <w:rPr>
          <w:rFonts w:ascii="Times New Roman" w:hAnsi="Times New Roman" w:cs="Times New Roman"/>
          <w:sz w:val="24"/>
          <w:szCs w:val="24"/>
        </w:rPr>
        <w:t>Fakülte personellerinin yolluk işlemleri ile ilgili personel beyanlarını almak ve yurtiçi/dışı geçici/sürekli görev yolluklarının tahakkukunu 6245 sayılı harcırah kanunu ve 2547 sayılı kanun hükümleri çerçevesinde gerçekleştir</w:t>
      </w:r>
      <w:r w:rsidR="008F2CE9">
        <w:rPr>
          <w:rFonts w:ascii="Times New Roman" w:hAnsi="Times New Roman" w:cs="Times New Roman"/>
          <w:sz w:val="24"/>
          <w:szCs w:val="24"/>
        </w:rPr>
        <w:t>ir.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26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Öğretim üyesi sınav jürisi olarak görev alan öğretim üyelerinin ilgili beyanlarını toplamak ve 2547 sayılı kanunun 23, 25 ve 26. maddeleri uyarınca ücretlerini tahakkuk ettir</w:t>
      </w:r>
      <w:r w:rsidR="008F2CE9">
        <w:rPr>
          <w:rFonts w:ascii="Times New Roman" w:hAnsi="Times New Roman" w:cs="Times New Roman"/>
          <w:sz w:val="24"/>
          <w:szCs w:val="24"/>
        </w:rPr>
        <w:t>ir.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926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Ödeme ile ilgili evrakların asıl veya onaylı suretlerini Strateji Daire Başkanlığına veya döner sermaye işletme müdürlüğüne teslim e</w:t>
      </w:r>
      <w:r w:rsidR="004F4484">
        <w:rPr>
          <w:rFonts w:ascii="Times New Roman" w:hAnsi="Times New Roman" w:cs="Times New Roman"/>
          <w:sz w:val="24"/>
          <w:szCs w:val="24"/>
        </w:rPr>
        <w:t>der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. Bu belgelerin bir nüshasını dosyasında </w:t>
      </w:r>
      <w:r w:rsidR="009926A8">
        <w:rPr>
          <w:rFonts w:ascii="Times New Roman" w:hAnsi="Times New Roman" w:cs="Times New Roman"/>
          <w:sz w:val="24"/>
          <w:szCs w:val="24"/>
        </w:rPr>
        <w:t xml:space="preserve">arşivler.                                                                                                                                         </w:t>
      </w:r>
      <w:r w:rsidR="009926A8" w:rsidRPr="009926A8">
        <w:rPr>
          <w:rFonts w:ascii="Times New Roman" w:hAnsi="Times New Roman" w:cs="Times New Roman"/>
          <w:sz w:val="24"/>
          <w:szCs w:val="24"/>
        </w:rPr>
        <w:t xml:space="preserve"> </w:t>
      </w:r>
      <w:r w:rsidR="009926A8">
        <w:rPr>
          <w:rFonts w:ascii="Times New Roman" w:hAnsi="Times New Roman" w:cs="Times New Roman"/>
          <w:sz w:val="24"/>
          <w:szCs w:val="24"/>
        </w:rPr>
        <w:t>32.</w:t>
      </w:r>
      <w:r w:rsidR="009926A8" w:rsidRPr="009D71AF">
        <w:rPr>
          <w:rFonts w:ascii="Times New Roman" w:hAnsi="Times New Roman" w:cs="Times New Roman"/>
          <w:sz w:val="24"/>
          <w:szCs w:val="24"/>
        </w:rPr>
        <w:t>Ek dersler ile ilgili ödeme evrakların asıl veya onaylı suretlerini Strateji Daire Başkanlığına teslim e</w:t>
      </w:r>
      <w:r w:rsidR="009926A8">
        <w:rPr>
          <w:rFonts w:ascii="Times New Roman" w:hAnsi="Times New Roman" w:cs="Times New Roman"/>
          <w:sz w:val="24"/>
          <w:szCs w:val="24"/>
        </w:rPr>
        <w:t>der</w:t>
      </w:r>
      <w:r w:rsidR="009926A8" w:rsidRPr="009D71AF">
        <w:rPr>
          <w:rFonts w:ascii="Times New Roman" w:hAnsi="Times New Roman" w:cs="Times New Roman"/>
          <w:sz w:val="24"/>
          <w:szCs w:val="24"/>
        </w:rPr>
        <w:t>, takibini yap</w:t>
      </w:r>
      <w:r w:rsidR="009926A8">
        <w:rPr>
          <w:rFonts w:ascii="Times New Roman" w:hAnsi="Times New Roman" w:cs="Times New Roman"/>
          <w:sz w:val="24"/>
          <w:szCs w:val="24"/>
        </w:rPr>
        <w:t>ar</w:t>
      </w:r>
      <w:r w:rsidR="009926A8" w:rsidRPr="009D71AF">
        <w:rPr>
          <w:rFonts w:ascii="Times New Roman" w:hAnsi="Times New Roman" w:cs="Times New Roman"/>
          <w:sz w:val="24"/>
          <w:szCs w:val="24"/>
        </w:rPr>
        <w:t>. Belgelerin bir nüshasını dosyasında arşivle</w:t>
      </w:r>
      <w:r w:rsidR="009926A8">
        <w:rPr>
          <w:rFonts w:ascii="Times New Roman" w:hAnsi="Times New Roman" w:cs="Times New Roman"/>
          <w:sz w:val="24"/>
          <w:szCs w:val="24"/>
        </w:rPr>
        <w:t>r.</w:t>
      </w:r>
      <w:r w:rsidR="009926A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>33.</w:t>
      </w:r>
      <w:r w:rsidR="009926A8" w:rsidRPr="009D71AF">
        <w:rPr>
          <w:rFonts w:ascii="Times New Roman" w:hAnsi="Times New Roman" w:cs="Times New Roman"/>
          <w:sz w:val="24"/>
          <w:szCs w:val="24"/>
        </w:rPr>
        <w:t>Görevinden ayrılan, göreve başlayan, izinli, raporlu ya da geçici görevli personellerin özlük işlerini takip ederek hatalı ödeme yapılmasını önle</w:t>
      </w:r>
      <w:r w:rsidR="009926A8">
        <w:rPr>
          <w:rFonts w:ascii="Times New Roman" w:hAnsi="Times New Roman" w:cs="Times New Roman"/>
          <w:sz w:val="24"/>
          <w:szCs w:val="24"/>
        </w:rPr>
        <w:t>r.</w:t>
      </w:r>
      <w:r w:rsidR="009926A8" w:rsidRPr="009D71AF">
        <w:rPr>
          <w:rFonts w:ascii="Times New Roman" w:hAnsi="Times New Roman" w:cs="Times New Roman"/>
          <w:sz w:val="24"/>
          <w:szCs w:val="24"/>
        </w:rPr>
        <w:t xml:space="preserve">  </w:t>
      </w:r>
      <w:r w:rsidR="006A176E">
        <w:rPr>
          <w:rFonts w:ascii="Times New Roman" w:hAnsi="Times New Roman" w:cs="Times New Roman"/>
          <w:sz w:val="24"/>
          <w:szCs w:val="24"/>
        </w:rPr>
        <w:t>Maaş ödemelerine esas değişiklikleri her ay kontrol eder.</w:t>
      </w:r>
      <w:r w:rsidR="009926A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>34.</w:t>
      </w:r>
      <w:r w:rsidR="009926A8" w:rsidRPr="009D71AF">
        <w:rPr>
          <w:rFonts w:ascii="Times New Roman" w:hAnsi="Times New Roman" w:cs="Times New Roman"/>
          <w:sz w:val="24"/>
          <w:szCs w:val="24"/>
        </w:rPr>
        <w:t>Fakülteye başlayan/ayrılan personellerin “Sistem (SGK Doktor Ekranı) kayıtlarını yap</w:t>
      </w:r>
      <w:r w:rsidR="009926A8">
        <w:rPr>
          <w:rFonts w:ascii="Times New Roman" w:hAnsi="Times New Roman" w:cs="Times New Roman"/>
          <w:sz w:val="24"/>
          <w:szCs w:val="24"/>
        </w:rPr>
        <w:t>ar.</w:t>
      </w:r>
      <w:r w:rsidR="009926A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9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35.</w:t>
      </w:r>
      <w:r w:rsidR="009926A8" w:rsidRPr="009D71AF">
        <w:rPr>
          <w:rFonts w:ascii="Times New Roman" w:hAnsi="Times New Roman" w:cs="Times New Roman"/>
          <w:sz w:val="24"/>
          <w:szCs w:val="24"/>
        </w:rPr>
        <w:t>Her türlü bilgi ve belgeyi koruyarak ilgisiz kişiler tarafından görülmesini, okunmasını, incelenmesini ya da alınmasını önleyecek tedbirleri al</w:t>
      </w:r>
      <w:r w:rsidR="009926A8">
        <w:rPr>
          <w:rFonts w:ascii="Times New Roman" w:hAnsi="Times New Roman" w:cs="Times New Roman"/>
          <w:sz w:val="24"/>
          <w:szCs w:val="24"/>
        </w:rPr>
        <w:t>ır.</w:t>
      </w:r>
      <w:r w:rsidR="00923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237DE" w:rsidRPr="009237DE">
        <w:rPr>
          <w:rFonts w:ascii="Times New Roman" w:hAnsi="Times New Roman" w:cs="Times New Roman"/>
          <w:sz w:val="24"/>
          <w:szCs w:val="24"/>
        </w:rPr>
        <w:t xml:space="preserve"> </w:t>
      </w:r>
      <w:r w:rsidR="009237DE">
        <w:rPr>
          <w:rFonts w:ascii="Times New Roman" w:hAnsi="Times New Roman" w:cs="Times New Roman"/>
          <w:sz w:val="24"/>
          <w:szCs w:val="24"/>
        </w:rPr>
        <w:t>36.</w:t>
      </w:r>
      <w:r w:rsidR="009237DE" w:rsidRPr="009D71AF">
        <w:rPr>
          <w:rFonts w:ascii="Times New Roman" w:hAnsi="Times New Roman" w:cs="Times New Roman"/>
          <w:sz w:val="24"/>
          <w:szCs w:val="24"/>
        </w:rPr>
        <w:t>Amirlerinin onayı olmadan kişilere bilgi ve belge verme</w:t>
      </w:r>
      <w:r w:rsidR="009237DE">
        <w:rPr>
          <w:rFonts w:ascii="Times New Roman" w:hAnsi="Times New Roman" w:cs="Times New Roman"/>
          <w:sz w:val="24"/>
          <w:szCs w:val="24"/>
        </w:rPr>
        <w:t>z.</w:t>
      </w:r>
      <w:r w:rsidR="009237DE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237DE">
        <w:rPr>
          <w:rFonts w:ascii="Times New Roman" w:hAnsi="Times New Roman" w:cs="Times New Roman"/>
          <w:sz w:val="24"/>
          <w:szCs w:val="24"/>
        </w:rPr>
        <w:t>37.</w:t>
      </w:r>
      <w:r w:rsidR="009237DE" w:rsidRPr="009D71AF">
        <w:rPr>
          <w:rFonts w:ascii="Times New Roman" w:hAnsi="Times New Roman" w:cs="Times New Roman"/>
          <w:sz w:val="24"/>
          <w:szCs w:val="24"/>
        </w:rPr>
        <w:t>Görevini gizlilik, kanun, mevzuat ve yönetmelik ilkelerine uygun olarak yap</w:t>
      </w:r>
      <w:r w:rsidR="009237DE">
        <w:rPr>
          <w:rFonts w:ascii="Times New Roman" w:hAnsi="Times New Roman" w:cs="Times New Roman"/>
          <w:sz w:val="24"/>
          <w:szCs w:val="24"/>
        </w:rPr>
        <w:t>ar.</w:t>
      </w:r>
      <w:r w:rsidR="009237DE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A04F35" w:rsidRPr="009D71AF" w14:paraId="06ED27ED" w14:textId="77777777" w:rsidTr="00EA184A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EE25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8AAC32B" wp14:editId="477EA7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895350" cy="99060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2C2A2" w14:textId="77777777" w:rsidR="00A04F35" w:rsidRPr="009D71AF" w:rsidRDefault="00A04F35" w:rsidP="00EA1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70517560" w14:textId="77777777" w:rsidR="00A04F35" w:rsidRPr="00834385" w:rsidRDefault="00A04F35" w:rsidP="00EA1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</w:t>
            </w:r>
            <w:r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erkezi</w:t>
            </w:r>
          </w:p>
          <w:p w14:paraId="1F30B14C" w14:textId="4C8AF5CE" w:rsidR="00A04F35" w:rsidRPr="009D71AF" w:rsidRDefault="00A04F35" w:rsidP="006A1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85">
              <w:rPr>
                <w:rFonts w:ascii="Times New Roman" w:hAnsi="Times New Roman" w:cs="Times New Roman"/>
                <w:b/>
                <w:sz w:val="24"/>
                <w:szCs w:val="24"/>
              </w:rPr>
              <w:t>Döner Sermaye ve Tahakkuk</w:t>
            </w:r>
            <w:r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Personeli Görev Tanımı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E8415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EDE815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KKU.GT.01-37</w:t>
            </w:r>
          </w:p>
        </w:tc>
      </w:tr>
      <w:tr w:rsidR="00A04F35" w:rsidRPr="009D71AF" w14:paraId="444AC152" w14:textId="77777777" w:rsidTr="00EA184A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16EB6" w14:textId="77777777" w:rsidR="00A04F35" w:rsidRPr="009D71AF" w:rsidRDefault="00A04F35" w:rsidP="00EA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A11E20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0D7B94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A04F35" w:rsidRPr="009D71AF" w14:paraId="541CC56A" w14:textId="77777777" w:rsidTr="00EA184A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737A4" w14:textId="77777777" w:rsidR="00A04F35" w:rsidRPr="009D71AF" w:rsidRDefault="00A04F35" w:rsidP="00EA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4E41AD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3A8569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F35" w:rsidRPr="009D71AF" w14:paraId="50E64111" w14:textId="77777777" w:rsidTr="00EA184A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E5D27" w14:textId="77777777" w:rsidR="00A04F35" w:rsidRPr="009D71AF" w:rsidRDefault="00A04F35" w:rsidP="00EA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8A5B6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43C1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F35" w:rsidRPr="009D71AF" w14:paraId="3879EDF6" w14:textId="77777777" w:rsidTr="00EA184A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5B100E" w14:textId="77777777" w:rsidR="00A04F35" w:rsidRPr="009D71AF" w:rsidRDefault="00A04F35" w:rsidP="00EA18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3AB9F" w14:textId="77777777" w:rsidR="00A04F35" w:rsidRPr="009D71AF" w:rsidRDefault="00A04F35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BD7FE" w14:textId="5E2D101B" w:rsidR="00A04F35" w:rsidRPr="009D71AF" w:rsidRDefault="00995848" w:rsidP="00EA1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4F35"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49AD14B" w14:textId="058F4C8F" w:rsidR="00672D27" w:rsidRDefault="00503DB8" w:rsidP="009237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75B364B6" w14:textId="026E5565" w:rsidR="009237DE" w:rsidRDefault="009237DE" w:rsidP="009237D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Yasa ve yönetmelikleri takip ederek, sürekli bilgilerini yenile</w:t>
      </w:r>
      <w:r w:rsidR="00A04F35">
        <w:rPr>
          <w:rFonts w:ascii="Times New Roman" w:hAnsi="Times New Roman" w:cs="Times New Roman"/>
          <w:sz w:val="24"/>
          <w:szCs w:val="24"/>
        </w:rPr>
        <w:t>r</w:t>
      </w:r>
      <w:r w:rsidR="0028686D" w:rsidRPr="009D71AF">
        <w:rPr>
          <w:rFonts w:ascii="Times New Roman" w:hAnsi="Times New Roman" w:cs="Times New Roman"/>
          <w:sz w:val="24"/>
          <w:szCs w:val="24"/>
        </w:rPr>
        <w:t>, üst makamlara hatalı veya eksik belgeleri onaylatmaktan kaçın</w:t>
      </w:r>
      <w:r w:rsidR="00A04F35">
        <w:rPr>
          <w:rFonts w:ascii="Times New Roman" w:hAnsi="Times New Roman" w:cs="Times New Roman"/>
          <w:sz w:val="24"/>
          <w:szCs w:val="24"/>
        </w:rPr>
        <w:t>ır</w:t>
      </w:r>
      <w:r w:rsidR="006A176E">
        <w:rPr>
          <w:rFonts w:ascii="Times New Roman" w:hAnsi="Times New Roman" w:cs="Times New Roman"/>
          <w:sz w:val="24"/>
          <w:szCs w:val="24"/>
        </w:rPr>
        <w:t>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Düzenlenen eğitim ve toplantılara katıl</w:t>
      </w:r>
      <w:r w:rsidR="00A04F35">
        <w:rPr>
          <w:rFonts w:ascii="Times New Roman" w:hAnsi="Times New Roman" w:cs="Times New Roman"/>
          <w:sz w:val="24"/>
          <w:szCs w:val="24"/>
        </w:rPr>
        <w:t>ır.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9696303"/>
      <w:r w:rsidR="00A04F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Mesai saatlerine uy</w:t>
      </w:r>
      <w:r w:rsidR="00A04F35">
        <w:rPr>
          <w:rFonts w:ascii="Times New Roman" w:hAnsi="Times New Roman" w:cs="Times New Roman"/>
          <w:sz w:val="24"/>
          <w:szCs w:val="24"/>
        </w:rPr>
        <w:t>ar.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04F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Özrü ya da amirlerinden izini olmaksızın görevden erken ayrılm</w:t>
      </w:r>
      <w:r w:rsidR="00A04F35">
        <w:rPr>
          <w:rFonts w:ascii="Times New Roman" w:hAnsi="Times New Roman" w:cs="Times New Roman"/>
          <w:sz w:val="24"/>
          <w:szCs w:val="24"/>
        </w:rPr>
        <w:t>az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ve görev mahallini terk etm</w:t>
      </w:r>
      <w:r w:rsidR="00A04F35">
        <w:rPr>
          <w:rFonts w:ascii="Times New Roman" w:hAnsi="Times New Roman" w:cs="Times New Roman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bookmarkEnd w:id="2"/>
      <w:r w:rsidR="00A04F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4F35">
        <w:rPr>
          <w:rFonts w:ascii="Times New Roman" w:hAnsi="Times New Roman" w:cs="Times New Roman"/>
          <w:sz w:val="24"/>
          <w:szCs w:val="24"/>
        </w:rPr>
        <w:t>.İ</w:t>
      </w:r>
      <w:r w:rsidR="0028686D" w:rsidRPr="009D71AF">
        <w:rPr>
          <w:rFonts w:ascii="Times New Roman" w:hAnsi="Times New Roman" w:cs="Times New Roman"/>
          <w:sz w:val="24"/>
          <w:szCs w:val="24"/>
        </w:rPr>
        <w:t>zne ayrılma gibi durumlarda, ayrılmadan önce devam eden ve takip edilmesi gereken iş ve işlemleri vekalet edecek personele yazılı olarak aktarmak, EBYS sistemi üzerinden vekalet işlemlerini yaparak onaya sun</w:t>
      </w:r>
      <w:r w:rsidR="00A04F35">
        <w:rPr>
          <w:rFonts w:ascii="Times New Roman" w:hAnsi="Times New Roman" w:cs="Times New Roman"/>
          <w:sz w:val="24"/>
          <w:szCs w:val="24"/>
        </w:rPr>
        <w:t>ar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ve durumdan amirlerine bilgi ver</w:t>
      </w:r>
      <w:r w:rsidR="00A04F35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04F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Tereddüt ettiği ve/veya kendisini aşan her durumda amirleri ile temas kurarak, hızlı ve doğru çözümler üret</w:t>
      </w:r>
      <w:r w:rsidR="00A04F35">
        <w:rPr>
          <w:rFonts w:ascii="Times New Roman" w:hAnsi="Times New Roman" w:cs="Times New Roman"/>
          <w:sz w:val="24"/>
          <w:szCs w:val="24"/>
        </w:rPr>
        <w:t>ir.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A04F35">
        <w:rPr>
          <w:rFonts w:ascii="Times New Roman" w:hAnsi="Times New Roman" w:cs="Times New Roman"/>
          <w:sz w:val="24"/>
          <w:szCs w:val="24"/>
        </w:rPr>
        <w:t>4</w:t>
      </w:r>
      <w:r w:rsidR="00672D27">
        <w:rPr>
          <w:rFonts w:ascii="Times New Roman" w:hAnsi="Times New Roman" w:cs="Times New Roman"/>
          <w:sz w:val="24"/>
          <w:szCs w:val="24"/>
        </w:rPr>
        <w:t>4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Birimdeki tespit edilen uygunsuzluklarla ilgili DÖF (Düzeltici Önleyici Faaliyet) başlat</w:t>
      </w:r>
      <w:r w:rsidR="00A04F35">
        <w:rPr>
          <w:rFonts w:ascii="Times New Roman" w:hAnsi="Times New Roman" w:cs="Times New Roman"/>
          <w:sz w:val="24"/>
          <w:szCs w:val="24"/>
        </w:rPr>
        <w:t>ır.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A0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2D27">
        <w:rPr>
          <w:rFonts w:ascii="Times New Roman" w:hAnsi="Times New Roman" w:cs="Times New Roman"/>
          <w:sz w:val="24"/>
          <w:szCs w:val="24"/>
        </w:rPr>
        <w:t>5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Kendisine teslim edilmiş olan evrakın saklanması, arşivlenmesi ve gerektiği zaman yeniden kullanılabilmesi için gereken şartları hazırla</w:t>
      </w:r>
      <w:r w:rsidR="00A04F35">
        <w:rPr>
          <w:rFonts w:ascii="Times New Roman" w:hAnsi="Times New Roman" w:cs="Times New Roman"/>
          <w:sz w:val="24"/>
          <w:szCs w:val="24"/>
        </w:rPr>
        <w:t>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2D27">
        <w:rPr>
          <w:rFonts w:ascii="Times New Roman" w:hAnsi="Times New Roman" w:cs="Times New Roman"/>
          <w:sz w:val="24"/>
          <w:szCs w:val="24"/>
        </w:rPr>
        <w:t>6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İş tanımı ile ilgili tüm işlemlerin yazışmalarını EBYS üzerinden yaparak, kendi birimine gelen evrakları teslim almak, gerekli kayıt ve dosyalama işlemlerini ile arşiv işlemlerinin tümünü EBYS üzerinden yap</w:t>
      </w:r>
      <w:r w:rsidR="00A04F35"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2D27">
        <w:rPr>
          <w:rFonts w:ascii="Times New Roman" w:hAnsi="Times New Roman" w:cs="Times New Roman"/>
          <w:sz w:val="24"/>
          <w:szCs w:val="24"/>
        </w:rPr>
        <w:t>7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Yapılan iş ve işlemlerde amirlerini bilgilendir</w:t>
      </w:r>
      <w:r w:rsidR="00A04F35">
        <w:rPr>
          <w:rFonts w:ascii="Times New Roman" w:hAnsi="Times New Roman" w:cs="Times New Roman"/>
          <w:sz w:val="24"/>
          <w:szCs w:val="24"/>
        </w:rPr>
        <w:t>ir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, yapılamayan işleri gerekçeleri </w:t>
      </w:r>
      <w:proofErr w:type="gramStart"/>
      <w:r w:rsidR="0028686D" w:rsidRPr="009D71AF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28686D" w:rsidRPr="009D71AF">
        <w:rPr>
          <w:rFonts w:ascii="Times New Roman" w:hAnsi="Times New Roman" w:cs="Times New Roman"/>
          <w:sz w:val="24"/>
          <w:szCs w:val="24"/>
        </w:rPr>
        <w:t xml:space="preserve"> açıkla</w:t>
      </w:r>
      <w:r w:rsidR="00A04F35">
        <w:rPr>
          <w:rFonts w:ascii="Times New Roman" w:hAnsi="Times New Roman" w:cs="Times New Roman"/>
          <w:sz w:val="24"/>
          <w:szCs w:val="24"/>
        </w:rPr>
        <w:t>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2D27">
        <w:rPr>
          <w:rFonts w:ascii="Times New Roman" w:hAnsi="Times New Roman" w:cs="Times New Roman"/>
          <w:sz w:val="24"/>
          <w:szCs w:val="24"/>
        </w:rPr>
        <w:t>8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Görev alanında karşılaştığı herhangi bir uyumsuzluk veya sorunu amirlerine bildir</w:t>
      </w:r>
      <w:r w:rsidR="00A04F35">
        <w:rPr>
          <w:rFonts w:ascii="Times New Roman" w:hAnsi="Times New Roman" w:cs="Times New Roman"/>
          <w:sz w:val="24"/>
          <w:szCs w:val="24"/>
        </w:rPr>
        <w:t>ir.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672D27">
        <w:rPr>
          <w:rFonts w:ascii="Times New Roman" w:hAnsi="Times New Roman" w:cs="Times New Roman"/>
          <w:sz w:val="24"/>
          <w:szCs w:val="24"/>
        </w:rPr>
        <w:t>49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Çalıştığı alanın her türlü temizliği ve düzeninden sorumlu</w:t>
      </w:r>
      <w:r w:rsidR="00A04F35">
        <w:rPr>
          <w:rFonts w:ascii="Times New Roman" w:hAnsi="Times New Roman" w:cs="Times New Roman"/>
          <w:sz w:val="24"/>
          <w:szCs w:val="24"/>
        </w:rPr>
        <w:t>dur.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04F35"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0</w:t>
      </w:r>
      <w:r w:rsidR="00A04F35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Kendisine teslim edilen araç-gereçleri kullanım ve bakım talimatına göre kullan</w:t>
      </w:r>
      <w:r w:rsidR="00A04F35">
        <w:rPr>
          <w:rFonts w:ascii="Times New Roman" w:hAnsi="Times New Roman" w:cs="Times New Roman"/>
          <w:sz w:val="24"/>
          <w:szCs w:val="24"/>
        </w:rPr>
        <w:t xml:space="preserve">ır, </w:t>
      </w:r>
      <w:r w:rsidR="0028686D" w:rsidRPr="009D71AF">
        <w:rPr>
          <w:rFonts w:ascii="Times New Roman" w:hAnsi="Times New Roman" w:cs="Times New Roman"/>
          <w:sz w:val="24"/>
          <w:szCs w:val="24"/>
        </w:rPr>
        <w:t>muhafaza e</w:t>
      </w:r>
      <w:r w:rsidR="00A04F35">
        <w:rPr>
          <w:rFonts w:ascii="Times New Roman" w:hAnsi="Times New Roman" w:cs="Times New Roman"/>
          <w:sz w:val="24"/>
          <w:szCs w:val="24"/>
        </w:rPr>
        <w:t>der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ve bunların her türlü israfına mâni ol</w:t>
      </w:r>
      <w:r w:rsidR="00A04F35">
        <w:rPr>
          <w:rFonts w:ascii="Times New Roman" w:hAnsi="Times New Roman" w:cs="Times New Roman"/>
          <w:sz w:val="24"/>
          <w:szCs w:val="24"/>
        </w:rPr>
        <w:t>ur</w:t>
      </w:r>
      <w:r w:rsidR="0028686D" w:rsidRPr="009D71AF">
        <w:rPr>
          <w:rFonts w:ascii="Times New Roman" w:hAnsi="Times New Roman" w:cs="Times New Roman"/>
          <w:sz w:val="24"/>
          <w:szCs w:val="24"/>
        </w:rPr>
        <w:t>. Bozulmamalarına, kaybolmamalarına ve hususi maksatlarla kullanılmamalarına dikkat e</w:t>
      </w:r>
      <w:r w:rsidR="00A04F35">
        <w:rPr>
          <w:rFonts w:ascii="Times New Roman" w:hAnsi="Times New Roman" w:cs="Times New Roman"/>
          <w:sz w:val="24"/>
          <w:szCs w:val="24"/>
        </w:rPr>
        <w:t>der.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A04F35"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1.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Çalışma ortamında tehlikeye sebebiyet verebilecek, ocak, ısıtıcı, çay makinesi gibi </w:t>
      </w:r>
      <w:r w:rsidRPr="009D71AF">
        <w:rPr>
          <w:rFonts w:ascii="Times New Roman" w:hAnsi="Times New Roman" w:cs="Times New Roman"/>
          <w:sz w:val="24"/>
          <w:szCs w:val="24"/>
        </w:rPr>
        <w:t>cihazlardan uzak durmak, her gün ortamı terk ederken, bilgisayar, yazıcı gibi elektronik aletleri kontrol etmek, kapı ve pencerelerin kapalı tutulmasına dikkat e</w:t>
      </w:r>
      <w:r>
        <w:rPr>
          <w:rFonts w:ascii="Times New Roman" w:hAnsi="Times New Roman" w:cs="Times New Roman"/>
          <w:sz w:val="24"/>
          <w:szCs w:val="24"/>
        </w:rPr>
        <w:t>der.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5</w:t>
      </w:r>
      <w:r w:rsidR="00672D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727">
        <w:rPr>
          <w:rFonts w:ascii="Times New Roman" w:hAnsi="Times New Roman" w:cs="Times New Roman"/>
          <w:sz w:val="24"/>
          <w:szCs w:val="24"/>
        </w:rPr>
        <w:t>Birimin teknik arızalarını teknik birime bildirir, yapılmasını takip eder, birimde meydana gelen olağandışı durum ya</w:t>
      </w:r>
      <w:r w:rsidR="006A176E">
        <w:rPr>
          <w:rFonts w:ascii="Times New Roman" w:hAnsi="Times New Roman" w:cs="Times New Roman"/>
          <w:sz w:val="24"/>
          <w:szCs w:val="24"/>
        </w:rPr>
        <w:t xml:space="preserve"> </w:t>
      </w:r>
      <w:r w:rsidRPr="00030727">
        <w:rPr>
          <w:rFonts w:ascii="Times New Roman" w:hAnsi="Times New Roman" w:cs="Times New Roman"/>
          <w:sz w:val="24"/>
          <w:szCs w:val="24"/>
        </w:rPr>
        <w:t>da olayları (yangın,</w:t>
      </w:r>
      <w:r w:rsidR="006A176E">
        <w:rPr>
          <w:rFonts w:ascii="Times New Roman" w:hAnsi="Times New Roman" w:cs="Times New Roman"/>
          <w:sz w:val="24"/>
          <w:szCs w:val="24"/>
        </w:rPr>
        <w:t xml:space="preserve"> </w:t>
      </w:r>
      <w:r w:rsidRPr="00030727">
        <w:rPr>
          <w:rFonts w:ascii="Times New Roman" w:hAnsi="Times New Roman" w:cs="Times New Roman"/>
          <w:sz w:val="24"/>
          <w:szCs w:val="24"/>
        </w:rPr>
        <w:t>su baskını, hırsızlık vb.) hastane güvenlik ve çağrı bölümüne derhal bildirir.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1AF">
        <w:rPr>
          <w:rFonts w:ascii="Times New Roman" w:hAnsi="Times New Roman" w:cs="Times New Roman"/>
          <w:sz w:val="24"/>
          <w:szCs w:val="24"/>
        </w:rPr>
        <w:t>Fakültede disiplinli bir çalışma ortamının sağlanması hususunda alınan tedbirlere uy</w:t>
      </w:r>
      <w:r>
        <w:rPr>
          <w:rFonts w:ascii="Times New Roman" w:hAnsi="Times New Roman" w:cs="Times New Roman"/>
          <w:sz w:val="24"/>
          <w:szCs w:val="24"/>
        </w:rPr>
        <w:t>ar.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1AF">
        <w:rPr>
          <w:rFonts w:ascii="Times New Roman" w:hAnsi="Times New Roman" w:cs="Times New Roman"/>
          <w:sz w:val="24"/>
          <w:szCs w:val="24"/>
        </w:rPr>
        <w:t>Görev ve sorumluluk alanındaki faaliyetlerin mevcut iç kontrol sisteminin tanım ve talimatlarına uygun olarak yürütülmesini sağla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1AF">
        <w:rPr>
          <w:rFonts w:ascii="Times New Roman" w:hAnsi="Times New Roman" w:cs="Times New Roman"/>
          <w:sz w:val="24"/>
          <w:szCs w:val="24"/>
        </w:rPr>
        <w:t>Görevini Kalite Yönetim Sistemi politikası, hedefleri ve prosedürlerine uygun olarak yürüt</w:t>
      </w:r>
      <w:r>
        <w:rPr>
          <w:rFonts w:ascii="Times New Roman" w:hAnsi="Times New Roman" w:cs="Times New Roman"/>
          <w:sz w:val="24"/>
          <w:szCs w:val="24"/>
        </w:rPr>
        <w:t>ür.</w:t>
      </w:r>
      <w:r w:rsidRPr="009D71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79F5E309" w14:textId="6913C634" w:rsidR="009237DE" w:rsidRDefault="009237DE" w:rsidP="009D71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-4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9237DE" w:rsidRPr="009D71AF" w14:paraId="511324A4" w14:textId="77777777" w:rsidTr="009237DE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24F28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1D52629" wp14:editId="6B6679E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895350" cy="93345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37424" w14:textId="77777777" w:rsidR="009237DE" w:rsidRPr="009D71AF" w:rsidRDefault="009237DE" w:rsidP="00923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3DBB7546" w14:textId="77777777" w:rsidR="009237DE" w:rsidRPr="00834385" w:rsidRDefault="009237DE" w:rsidP="009237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</w:t>
            </w:r>
            <w:r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erkezi</w:t>
            </w:r>
          </w:p>
          <w:p w14:paraId="13B50D9A" w14:textId="555F8555" w:rsidR="009237DE" w:rsidRPr="009D71AF" w:rsidRDefault="009237DE" w:rsidP="006A1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85">
              <w:rPr>
                <w:rFonts w:ascii="Times New Roman" w:hAnsi="Times New Roman" w:cs="Times New Roman"/>
                <w:b/>
                <w:sz w:val="24"/>
                <w:szCs w:val="24"/>
              </w:rPr>
              <w:t>Döner Sermaye ve Tahakkuk</w:t>
            </w:r>
            <w:r w:rsidRPr="00834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Personeli Görev Tanımı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783DF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EABAF6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KKU.GT.01-37</w:t>
            </w:r>
          </w:p>
        </w:tc>
      </w:tr>
      <w:tr w:rsidR="009237DE" w:rsidRPr="009D71AF" w14:paraId="2A0CD9E6" w14:textId="77777777" w:rsidTr="009237DE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18709" w14:textId="77777777" w:rsidR="009237DE" w:rsidRPr="009D71AF" w:rsidRDefault="009237DE" w:rsidP="009237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564DD8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F52EB0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9237DE" w:rsidRPr="009D71AF" w14:paraId="1E47796B" w14:textId="77777777" w:rsidTr="009237DE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01CBA" w14:textId="77777777" w:rsidR="009237DE" w:rsidRPr="009D71AF" w:rsidRDefault="009237DE" w:rsidP="009237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2AF30B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BAE747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7DE" w:rsidRPr="009D71AF" w14:paraId="7902ABCF" w14:textId="77777777" w:rsidTr="009237DE">
        <w:trPr>
          <w:trHeight w:val="2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9C3A1" w14:textId="77777777" w:rsidR="009237DE" w:rsidRPr="009D71AF" w:rsidRDefault="009237DE" w:rsidP="009237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A2D574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36E13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7DE" w:rsidRPr="009D71AF" w14:paraId="42304BB5" w14:textId="77777777" w:rsidTr="009237DE">
        <w:trPr>
          <w:trHeight w:val="26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62D64" w14:textId="77777777" w:rsidR="009237DE" w:rsidRPr="009D71AF" w:rsidRDefault="009237DE" w:rsidP="009237D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845A6" w14:textId="77777777" w:rsidR="009237DE" w:rsidRPr="009D71AF" w:rsidRDefault="009237DE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E4AF92" w14:textId="00EF8DF2" w:rsidR="009237DE" w:rsidRPr="009D71AF" w:rsidRDefault="00995848" w:rsidP="009237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37DE" w:rsidRPr="009D71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3087075" w14:textId="34562A9B" w:rsidR="0028686D" w:rsidRPr="00995848" w:rsidRDefault="00030727" w:rsidP="00030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237DE"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6</w:t>
      </w:r>
      <w:r w:rsidR="009237DE">
        <w:rPr>
          <w:rFonts w:ascii="Times New Roman" w:hAnsi="Times New Roman" w:cs="Times New Roman"/>
          <w:sz w:val="24"/>
          <w:szCs w:val="24"/>
        </w:rPr>
        <w:t>.</w:t>
      </w:r>
      <w:r w:rsidR="00672D27">
        <w:rPr>
          <w:rFonts w:ascii="Times New Roman" w:hAnsi="Times New Roman" w:cs="Times New Roman"/>
          <w:sz w:val="24"/>
          <w:szCs w:val="24"/>
        </w:rPr>
        <w:t>İ</w:t>
      </w:r>
      <w:r w:rsidR="0028686D" w:rsidRPr="009D71AF">
        <w:rPr>
          <w:rFonts w:ascii="Times New Roman" w:hAnsi="Times New Roman" w:cs="Times New Roman"/>
          <w:sz w:val="24"/>
          <w:szCs w:val="24"/>
        </w:rPr>
        <w:t>ş güvenliği ile ilgili uyarı ve talimatlara uy</w:t>
      </w:r>
      <w:r>
        <w:rPr>
          <w:rFonts w:ascii="Times New Roman" w:hAnsi="Times New Roman" w:cs="Times New Roman"/>
          <w:sz w:val="24"/>
          <w:szCs w:val="24"/>
        </w:rPr>
        <w:t>ar.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9D7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237DE"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Çalışmalarını uyum ve iş</w:t>
      </w:r>
      <w:r w:rsidR="006A176E">
        <w:rPr>
          <w:rFonts w:ascii="Times New Roman" w:hAnsi="Times New Roman" w:cs="Times New Roman"/>
          <w:sz w:val="24"/>
          <w:szCs w:val="24"/>
        </w:rPr>
        <w:t xml:space="preserve"> </w:t>
      </w:r>
      <w:r w:rsidR="0028686D" w:rsidRPr="009D71AF">
        <w:rPr>
          <w:rFonts w:ascii="Times New Roman" w:hAnsi="Times New Roman" w:cs="Times New Roman"/>
          <w:sz w:val="24"/>
          <w:szCs w:val="24"/>
        </w:rPr>
        <w:t>birliği içinde gerçekleştir</w:t>
      </w:r>
      <w:r>
        <w:rPr>
          <w:rFonts w:ascii="Times New Roman" w:hAnsi="Times New Roman" w:cs="Times New Roman"/>
          <w:sz w:val="24"/>
          <w:szCs w:val="24"/>
        </w:rPr>
        <w:t xml:space="preserve">ir.                                                                  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 w:rsidR="009237DE">
        <w:rPr>
          <w:rFonts w:ascii="Times New Roman" w:hAnsi="Times New Roman" w:cs="Times New Roman"/>
          <w:sz w:val="24"/>
          <w:szCs w:val="24"/>
        </w:rPr>
        <w:t>5</w:t>
      </w:r>
      <w:r w:rsidR="00672D27">
        <w:rPr>
          <w:rFonts w:ascii="Times New Roman" w:hAnsi="Times New Roman" w:cs="Times New Roman"/>
          <w:sz w:val="24"/>
          <w:szCs w:val="24"/>
        </w:rPr>
        <w:t>8</w:t>
      </w:r>
      <w:r w:rsidR="009237DE"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>Amirleri tarafından verilen görev ve hizmetler ile ilgili emirleri tam ve zamanında yerine getir</w:t>
      </w:r>
      <w:r>
        <w:rPr>
          <w:rFonts w:ascii="Times New Roman" w:hAnsi="Times New Roman" w:cs="Times New Roman"/>
          <w:sz w:val="24"/>
          <w:szCs w:val="24"/>
        </w:rPr>
        <w:t>ir.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72D27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86D" w:rsidRPr="009D71AF">
        <w:rPr>
          <w:rFonts w:ascii="Times New Roman" w:hAnsi="Times New Roman" w:cs="Times New Roman"/>
          <w:sz w:val="24"/>
          <w:szCs w:val="24"/>
        </w:rPr>
        <w:t xml:space="preserve">Amirlerinin vereceği ve diğer Kalite Yönetim Sistemi </w:t>
      </w:r>
      <w:proofErr w:type="gramStart"/>
      <w:r w:rsidR="0028686D" w:rsidRPr="009D71AF">
        <w:rPr>
          <w:rFonts w:ascii="Times New Roman" w:hAnsi="Times New Roman" w:cs="Times New Roman"/>
          <w:sz w:val="24"/>
          <w:szCs w:val="24"/>
        </w:rPr>
        <w:t>dokümanlarında</w:t>
      </w:r>
      <w:proofErr w:type="gramEnd"/>
      <w:r w:rsidR="0028686D" w:rsidRPr="009D71AF">
        <w:rPr>
          <w:rFonts w:ascii="Times New Roman" w:hAnsi="Times New Roman" w:cs="Times New Roman"/>
          <w:sz w:val="24"/>
          <w:szCs w:val="24"/>
        </w:rPr>
        <w:t xml:space="preserve"> belirtilen ilave görev ve sorumlulukları yerine getir</w:t>
      </w:r>
      <w:r>
        <w:rPr>
          <w:rFonts w:ascii="Times New Roman" w:hAnsi="Times New Roman" w:cs="Times New Roman"/>
          <w:sz w:val="24"/>
          <w:szCs w:val="24"/>
        </w:rPr>
        <w:t>ir.</w:t>
      </w:r>
      <w:r w:rsidR="00995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95848">
        <w:t xml:space="preserve"> </w:t>
      </w:r>
      <w:r w:rsidR="00995848" w:rsidRPr="00995848">
        <w:rPr>
          <w:rFonts w:ascii="Times New Roman" w:hAnsi="Times New Roman" w:cs="Times New Roman"/>
          <w:sz w:val="24"/>
          <w:szCs w:val="24"/>
        </w:rPr>
        <w:t>6</w:t>
      </w:r>
      <w:r w:rsidR="00672D27">
        <w:rPr>
          <w:rFonts w:ascii="Times New Roman" w:hAnsi="Times New Roman" w:cs="Times New Roman"/>
          <w:sz w:val="24"/>
          <w:szCs w:val="24"/>
        </w:rPr>
        <w:t>0</w:t>
      </w:r>
      <w:r w:rsidR="00995848" w:rsidRPr="00995848">
        <w:rPr>
          <w:rFonts w:ascii="Times New Roman" w:hAnsi="Times New Roman" w:cs="Times New Roman"/>
          <w:sz w:val="24"/>
          <w:szCs w:val="24"/>
        </w:rPr>
        <w:t>.Belirtilen tüm görev ve sorumlulukları gerçekleştirme yetkisine sahiptir.                                                             6</w:t>
      </w:r>
      <w:r w:rsidR="00672D27">
        <w:rPr>
          <w:rFonts w:ascii="Times New Roman" w:hAnsi="Times New Roman" w:cs="Times New Roman"/>
          <w:sz w:val="24"/>
          <w:szCs w:val="24"/>
        </w:rPr>
        <w:t>1</w:t>
      </w:r>
      <w:r w:rsidR="00995848" w:rsidRPr="00995848">
        <w:rPr>
          <w:rFonts w:ascii="Times New Roman" w:hAnsi="Times New Roman" w:cs="Times New Roman"/>
          <w:sz w:val="24"/>
          <w:szCs w:val="24"/>
        </w:rPr>
        <w:t>. Faaliyetlerin gerçekleştirilmesi için gerekli araç ve gereçleri kullanma yetkisine sahiptir.                                      6</w:t>
      </w:r>
      <w:r w:rsidR="00672D27">
        <w:rPr>
          <w:rFonts w:ascii="Times New Roman" w:hAnsi="Times New Roman" w:cs="Times New Roman"/>
          <w:sz w:val="24"/>
          <w:szCs w:val="24"/>
        </w:rPr>
        <w:t>2</w:t>
      </w:r>
      <w:r w:rsidR="00995848" w:rsidRPr="00995848">
        <w:rPr>
          <w:rFonts w:ascii="Times New Roman" w:hAnsi="Times New Roman" w:cs="Times New Roman"/>
          <w:sz w:val="24"/>
          <w:szCs w:val="24"/>
        </w:rPr>
        <w:t>. Fakültede kullanılan sistemlerde yetkisi dahilinde işlem yapma yetkisine sahiptir</w:t>
      </w:r>
    </w:p>
    <w:p w14:paraId="53EAC307" w14:textId="00ABEB9C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89696571"/>
      <w:r w:rsidRPr="009D71AF">
        <w:rPr>
          <w:rFonts w:ascii="Times New Roman" w:hAnsi="Times New Roman" w:cs="Times New Roman"/>
          <w:b/>
          <w:bCs/>
          <w:sz w:val="24"/>
          <w:szCs w:val="24"/>
        </w:rPr>
        <w:t>YETKİNLİK</w:t>
      </w:r>
    </w:p>
    <w:p w14:paraId="7048BA62" w14:textId="77777777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31232F73" w14:textId="77777777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>-Görevinin gerektirdiği düzeyde bilgi ve iş deneyimine sahip olmak,</w:t>
      </w:r>
    </w:p>
    <w:p w14:paraId="2DE00D58" w14:textId="77777777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076CB626" w14:textId="77777777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D71AF">
        <w:rPr>
          <w:rFonts w:ascii="Times New Roman" w:hAnsi="Times New Roman" w:cs="Times New Roman"/>
          <w:sz w:val="24"/>
          <w:szCs w:val="24"/>
        </w:rPr>
        <w:t>-Görev alanı ile ilgili mevzuata hâkim olmaktır.</w:t>
      </w:r>
    </w:p>
    <w:bookmarkEnd w:id="3"/>
    <w:p w14:paraId="709486B9" w14:textId="77777777" w:rsidR="00C02EF8" w:rsidRPr="009D71AF" w:rsidRDefault="00C02EF8" w:rsidP="006B105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E7EFB32" w14:textId="77777777" w:rsidR="00C02EF8" w:rsidRPr="009D71AF" w:rsidRDefault="00C02EF8" w:rsidP="006B1051">
      <w:pPr>
        <w:rPr>
          <w:rFonts w:ascii="Times New Roman" w:hAnsi="Times New Roman" w:cs="Times New Roman"/>
          <w:sz w:val="24"/>
          <w:szCs w:val="24"/>
        </w:rPr>
      </w:pPr>
    </w:p>
    <w:sectPr w:rsidR="00C02EF8" w:rsidRPr="009D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75E3" w14:textId="77777777" w:rsidR="00140462" w:rsidRDefault="00140462" w:rsidP="006B1051">
      <w:pPr>
        <w:spacing w:after="0" w:line="240" w:lineRule="auto"/>
      </w:pPr>
      <w:r>
        <w:separator/>
      </w:r>
    </w:p>
  </w:endnote>
  <w:endnote w:type="continuationSeparator" w:id="0">
    <w:p w14:paraId="57A20F77" w14:textId="77777777" w:rsidR="00140462" w:rsidRDefault="00140462" w:rsidP="006B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7FAB" w14:textId="77777777" w:rsidR="006A4491" w:rsidRDefault="006A44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804" w14:textId="77777777" w:rsidR="00995848" w:rsidRDefault="009958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98A8" w14:textId="77777777" w:rsidR="006A4491" w:rsidRDefault="006A44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11AC" w14:textId="77777777" w:rsidR="00140462" w:rsidRDefault="00140462" w:rsidP="006B1051">
      <w:pPr>
        <w:spacing w:after="0" w:line="240" w:lineRule="auto"/>
      </w:pPr>
      <w:r>
        <w:separator/>
      </w:r>
    </w:p>
  </w:footnote>
  <w:footnote w:type="continuationSeparator" w:id="0">
    <w:p w14:paraId="038F5238" w14:textId="77777777" w:rsidR="00140462" w:rsidRDefault="00140462" w:rsidP="006B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31BF" w14:textId="77777777" w:rsidR="006A4491" w:rsidRDefault="006A44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3506" w14:textId="77777777" w:rsidR="006A4491" w:rsidRDefault="006A44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922D" w14:textId="77777777" w:rsidR="006A4491" w:rsidRDefault="006A44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F32"/>
    <w:multiLevelType w:val="hybridMultilevel"/>
    <w:tmpl w:val="FFB6749E"/>
    <w:lvl w:ilvl="0" w:tplc="52607B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870FD"/>
    <w:multiLevelType w:val="hybridMultilevel"/>
    <w:tmpl w:val="E26CD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D"/>
    <w:rsid w:val="00030727"/>
    <w:rsid w:val="00140462"/>
    <w:rsid w:val="0028686D"/>
    <w:rsid w:val="004F4484"/>
    <w:rsid w:val="00503DB8"/>
    <w:rsid w:val="0066274D"/>
    <w:rsid w:val="00672D27"/>
    <w:rsid w:val="006A176E"/>
    <w:rsid w:val="006A4491"/>
    <w:rsid w:val="006B1051"/>
    <w:rsid w:val="008040AA"/>
    <w:rsid w:val="00834385"/>
    <w:rsid w:val="008F2CE9"/>
    <w:rsid w:val="009237DE"/>
    <w:rsid w:val="009926A8"/>
    <w:rsid w:val="00995848"/>
    <w:rsid w:val="009D71AF"/>
    <w:rsid w:val="00A04F35"/>
    <w:rsid w:val="00A17BCB"/>
    <w:rsid w:val="00B90B61"/>
    <w:rsid w:val="00B92E62"/>
    <w:rsid w:val="00C02EF8"/>
    <w:rsid w:val="00D31D16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A46D"/>
  <w15:chartTrackingRefBased/>
  <w15:docId w15:val="{1243FB84-6397-4842-9412-2E5ED713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F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B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B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051"/>
  </w:style>
  <w:style w:type="paragraph" w:styleId="AltBilgi">
    <w:name w:val="footer"/>
    <w:basedOn w:val="Normal"/>
    <w:link w:val="AltBilgiChar"/>
    <w:uiPriority w:val="99"/>
    <w:unhideWhenUsed/>
    <w:rsid w:val="006B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051"/>
  </w:style>
  <w:style w:type="table" w:styleId="TabloKlavuzu">
    <w:name w:val="Table Grid"/>
    <w:basedOn w:val="NormalTablo"/>
    <w:uiPriority w:val="39"/>
    <w:rsid w:val="0099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19</cp:revision>
  <cp:lastPrinted>2021-12-06T13:17:00Z</cp:lastPrinted>
  <dcterms:created xsi:type="dcterms:W3CDTF">2021-12-06T06:48:00Z</dcterms:created>
  <dcterms:modified xsi:type="dcterms:W3CDTF">2022-03-06T18:43:00Z</dcterms:modified>
</cp:coreProperties>
</file>