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9A2" w14:textId="77777777" w:rsidR="004C3D50" w:rsidRPr="00BE015C" w:rsidRDefault="004C3D50" w:rsidP="004C3D50">
      <w:pPr>
        <w:spacing w:after="19"/>
        <w:ind w:left="0" w:firstLine="0"/>
        <w:jc w:val="left"/>
        <w:rPr>
          <w:szCs w:val="24"/>
        </w:rPr>
      </w:pPr>
    </w:p>
    <w:p w14:paraId="483A96F1" w14:textId="77777777" w:rsidR="004C3D50" w:rsidRPr="00BE015C" w:rsidRDefault="004C3D50" w:rsidP="004C3D50">
      <w:pPr>
        <w:spacing w:after="19"/>
        <w:ind w:left="0" w:firstLine="0"/>
        <w:jc w:val="left"/>
        <w:rPr>
          <w:szCs w:val="24"/>
        </w:rPr>
      </w:pPr>
    </w:p>
    <w:p w14:paraId="53017C61" w14:textId="77777777" w:rsidR="004C3D50" w:rsidRPr="00BE015C" w:rsidRDefault="004C3D50" w:rsidP="004C3D50">
      <w:pPr>
        <w:spacing w:after="19"/>
        <w:ind w:left="0" w:firstLine="0"/>
        <w:jc w:val="left"/>
        <w:rPr>
          <w:szCs w:val="24"/>
        </w:rPr>
      </w:pP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4C3D50" w:rsidRPr="004C3D50" w14:paraId="47C604B7" w14:textId="77777777" w:rsidTr="001C60EB">
        <w:trPr>
          <w:trHeight w:hRule="exact" w:val="338"/>
        </w:trPr>
        <w:tc>
          <w:tcPr>
            <w:tcW w:w="7340" w:type="dxa"/>
            <w:vMerge w:val="restart"/>
          </w:tcPr>
          <w:p w14:paraId="4B7DC9AF" w14:textId="77777777" w:rsidR="004C3D50" w:rsidRPr="004C3D50" w:rsidRDefault="004C3D50" w:rsidP="004C3D50">
            <w:pPr>
              <w:spacing w:before="10" w:after="0" w:line="100" w:lineRule="exact"/>
              <w:ind w:left="0" w:firstLine="0"/>
              <w:jc w:val="left"/>
              <w:rPr>
                <w:color w:val="auto"/>
                <w:szCs w:val="24"/>
                <w:lang w:val="en-US"/>
              </w:rPr>
            </w:pPr>
          </w:p>
          <w:p w14:paraId="33AF10FF" w14:textId="77777777" w:rsidR="004C3D50" w:rsidRPr="004C3D50" w:rsidRDefault="004C3D50" w:rsidP="004C3D50">
            <w:pPr>
              <w:spacing w:after="0" w:line="200" w:lineRule="exact"/>
              <w:ind w:left="0" w:firstLine="0"/>
              <w:jc w:val="left"/>
              <w:rPr>
                <w:color w:val="auto"/>
                <w:szCs w:val="24"/>
                <w:lang w:val="en-US"/>
              </w:rPr>
            </w:pPr>
            <w:r w:rsidRPr="004C3D50">
              <w:rPr>
                <w:noProof/>
                <w:color w:val="auto"/>
                <w:szCs w:val="24"/>
                <w:lang w:val="en-US"/>
              </w:rPr>
              <w:drawing>
                <wp:anchor distT="0" distB="0" distL="114300" distR="114300" simplePos="0" relativeHeight="251659264" behindDoc="0" locked="0" layoutInCell="1" allowOverlap="1" wp14:anchorId="206A5A4E" wp14:editId="2B1713DD">
                  <wp:simplePos x="0" y="0"/>
                  <wp:positionH relativeFrom="column">
                    <wp:posOffset>47625</wp:posOffset>
                  </wp:positionH>
                  <wp:positionV relativeFrom="paragraph">
                    <wp:posOffset>33020</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5E2BD8FB" w14:textId="77777777" w:rsidR="004C3D50" w:rsidRPr="004C3D50" w:rsidRDefault="004C3D50" w:rsidP="00087A15">
            <w:pPr>
              <w:spacing w:after="0" w:line="200" w:lineRule="exact"/>
              <w:ind w:left="0" w:firstLine="0"/>
              <w:jc w:val="center"/>
              <w:rPr>
                <w:color w:val="auto"/>
                <w:szCs w:val="24"/>
                <w:lang w:val="en-US"/>
              </w:rPr>
            </w:pPr>
            <w:r w:rsidRPr="004C3D50">
              <w:rPr>
                <w:rFonts w:eastAsia="Calibri"/>
                <w:b/>
                <w:color w:val="auto"/>
                <w:szCs w:val="24"/>
              </w:rPr>
              <w:t>Alanya Alaaddin Keykubat Üniversitesi</w:t>
            </w:r>
          </w:p>
          <w:p w14:paraId="533006ED" w14:textId="77777777" w:rsidR="004C3D50" w:rsidRPr="004C3D50" w:rsidRDefault="004C3D50" w:rsidP="00087A15">
            <w:pPr>
              <w:tabs>
                <w:tab w:val="center" w:pos="3687"/>
              </w:tabs>
              <w:spacing w:after="0" w:line="240" w:lineRule="auto"/>
              <w:ind w:left="0" w:firstLine="0"/>
              <w:jc w:val="center"/>
              <w:rPr>
                <w:rFonts w:eastAsia="Calibri"/>
                <w:b/>
                <w:color w:val="auto"/>
                <w:szCs w:val="24"/>
              </w:rPr>
            </w:pPr>
            <w:r w:rsidRPr="004C3D50">
              <w:rPr>
                <w:rFonts w:eastAsia="Calibri"/>
                <w:b/>
                <w:color w:val="auto"/>
                <w:szCs w:val="24"/>
              </w:rPr>
              <w:t>Diş Hekimliği Uygulama ve Araştırma Merkezi</w:t>
            </w:r>
          </w:p>
          <w:p w14:paraId="74868198" w14:textId="77777777" w:rsidR="004C3D50" w:rsidRPr="004C3D50" w:rsidRDefault="004C3D50" w:rsidP="00087A15">
            <w:pPr>
              <w:spacing w:after="0" w:line="240" w:lineRule="auto"/>
              <w:ind w:left="0" w:right="217" w:firstLine="0"/>
              <w:jc w:val="center"/>
              <w:rPr>
                <w:b/>
                <w:color w:val="auto"/>
                <w:spacing w:val="1"/>
                <w:szCs w:val="24"/>
                <w:lang w:val="en-US"/>
              </w:rPr>
            </w:pPr>
          </w:p>
          <w:p w14:paraId="672699B4" w14:textId="61E41D00" w:rsidR="004C3D50" w:rsidRPr="004C3D50" w:rsidRDefault="00087A15" w:rsidP="00087A15">
            <w:pPr>
              <w:spacing w:after="0" w:line="240" w:lineRule="auto"/>
              <w:ind w:left="0" w:right="217" w:firstLine="0"/>
              <w:jc w:val="center"/>
              <w:rPr>
                <w:b/>
                <w:bCs/>
                <w:color w:val="auto"/>
                <w:szCs w:val="24"/>
                <w:lang w:val="en-US"/>
              </w:rPr>
            </w:pPr>
            <w:r w:rsidRPr="00BE015C">
              <w:rPr>
                <w:b/>
                <w:szCs w:val="24"/>
              </w:rPr>
              <w:t xml:space="preserve">İlaç </w:t>
            </w:r>
            <w:r>
              <w:rPr>
                <w:b/>
                <w:szCs w:val="24"/>
              </w:rPr>
              <w:t>v</w:t>
            </w:r>
            <w:r w:rsidRPr="00BE015C">
              <w:rPr>
                <w:b/>
                <w:szCs w:val="24"/>
              </w:rPr>
              <w:t xml:space="preserve">e Sarf Malzemelerde Miktar </w:t>
            </w:r>
            <w:r>
              <w:rPr>
                <w:b/>
                <w:szCs w:val="24"/>
              </w:rPr>
              <w:t>v</w:t>
            </w:r>
            <w:r w:rsidRPr="00BE015C">
              <w:rPr>
                <w:b/>
                <w:szCs w:val="24"/>
              </w:rPr>
              <w:t>e Mia</w:t>
            </w:r>
            <w:r w:rsidR="00D756DF">
              <w:rPr>
                <w:b/>
                <w:szCs w:val="24"/>
              </w:rPr>
              <w:t>t</w:t>
            </w:r>
            <w:r w:rsidRPr="00BE015C">
              <w:rPr>
                <w:b/>
                <w:szCs w:val="24"/>
              </w:rPr>
              <w:t xml:space="preserve"> Kontrol Talimatı</w:t>
            </w:r>
          </w:p>
        </w:tc>
        <w:tc>
          <w:tcPr>
            <w:tcW w:w="1843" w:type="dxa"/>
          </w:tcPr>
          <w:p w14:paraId="4EE38766" w14:textId="77777777" w:rsidR="004C3D50" w:rsidRPr="004C3D50" w:rsidRDefault="004C3D50" w:rsidP="004C3D50">
            <w:pPr>
              <w:spacing w:before="31" w:after="0" w:line="240" w:lineRule="auto"/>
              <w:ind w:left="102" w:firstLine="0"/>
              <w:jc w:val="left"/>
              <w:rPr>
                <w:color w:val="auto"/>
                <w:sz w:val="22"/>
                <w:lang w:val="en-US"/>
              </w:rPr>
            </w:pPr>
            <w:r w:rsidRPr="004C3D50">
              <w:rPr>
                <w:color w:val="auto"/>
                <w:spacing w:val="-1"/>
                <w:sz w:val="22"/>
                <w:lang w:val="en-US"/>
              </w:rPr>
              <w:t>D</w:t>
            </w:r>
            <w:r w:rsidRPr="004C3D50">
              <w:rPr>
                <w:color w:val="auto"/>
                <w:sz w:val="22"/>
                <w:lang w:val="en-US"/>
              </w:rPr>
              <w:t>o</w:t>
            </w:r>
            <w:r w:rsidRPr="004C3D50">
              <w:rPr>
                <w:color w:val="auto"/>
                <w:spacing w:val="-2"/>
                <w:sz w:val="22"/>
                <w:lang w:val="en-US"/>
              </w:rPr>
              <w:t>k</w:t>
            </w:r>
            <w:r w:rsidRPr="004C3D50">
              <w:rPr>
                <w:color w:val="auto"/>
                <w:spacing w:val="2"/>
                <w:sz w:val="22"/>
                <w:lang w:val="en-US"/>
              </w:rPr>
              <w:t>ü</w:t>
            </w:r>
            <w:r w:rsidRPr="004C3D50">
              <w:rPr>
                <w:color w:val="auto"/>
                <w:spacing w:val="-4"/>
                <w:sz w:val="22"/>
                <w:lang w:val="en-US"/>
              </w:rPr>
              <w:t>m</w:t>
            </w:r>
            <w:r w:rsidRPr="004C3D50">
              <w:rPr>
                <w:color w:val="auto"/>
                <w:sz w:val="22"/>
                <w:lang w:val="en-US"/>
              </w:rPr>
              <w:t>an</w:t>
            </w:r>
            <w:r w:rsidRPr="004C3D50">
              <w:rPr>
                <w:color w:val="auto"/>
                <w:spacing w:val="1"/>
                <w:sz w:val="22"/>
                <w:lang w:val="en-US"/>
              </w:rPr>
              <w:t xml:space="preserve"> </w:t>
            </w:r>
            <w:r w:rsidRPr="004C3D50">
              <w:rPr>
                <w:color w:val="auto"/>
                <w:spacing w:val="-1"/>
                <w:sz w:val="22"/>
                <w:lang w:val="en-US"/>
              </w:rPr>
              <w:t>N</w:t>
            </w:r>
            <w:r w:rsidRPr="004C3D50">
              <w:rPr>
                <w:color w:val="auto"/>
                <w:sz w:val="22"/>
                <w:lang w:val="en-US"/>
              </w:rPr>
              <w:t>o.</w:t>
            </w:r>
          </w:p>
        </w:tc>
        <w:tc>
          <w:tcPr>
            <w:tcW w:w="1292" w:type="dxa"/>
          </w:tcPr>
          <w:p w14:paraId="09CE3B4F" w14:textId="1CBD5253" w:rsidR="004C3D50" w:rsidRPr="004C3D50" w:rsidRDefault="004C3D50" w:rsidP="004C3D50">
            <w:pPr>
              <w:spacing w:before="31" w:after="0" w:line="240" w:lineRule="auto"/>
              <w:ind w:left="0" w:firstLine="0"/>
              <w:jc w:val="left"/>
              <w:rPr>
                <w:color w:val="auto"/>
                <w:sz w:val="22"/>
                <w:lang w:val="en-US"/>
              </w:rPr>
            </w:pPr>
            <w:r w:rsidRPr="004C3D50">
              <w:rPr>
                <w:color w:val="auto"/>
                <w:sz w:val="22"/>
                <w:lang w:val="en-US"/>
              </w:rPr>
              <w:t xml:space="preserve"> SİY.</w:t>
            </w:r>
            <w:r w:rsidR="00087A15">
              <w:rPr>
                <w:color w:val="auto"/>
                <w:sz w:val="22"/>
                <w:lang w:val="en-US"/>
              </w:rPr>
              <w:t>TL</w:t>
            </w:r>
            <w:r w:rsidRPr="004C3D50">
              <w:rPr>
                <w:color w:val="auto"/>
                <w:sz w:val="22"/>
                <w:lang w:val="en-US"/>
              </w:rPr>
              <w:t>.0</w:t>
            </w:r>
            <w:r w:rsidR="00087A15">
              <w:rPr>
                <w:color w:val="auto"/>
                <w:sz w:val="22"/>
                <w:lang w:val="en-US"/>
              </w:rPr>
              <w:t>3</w:t>
            </w:r>
          </w:p>
        </w:tc>
      </w:tr>
      <w:tr w:rsidR="004C3D50" w:rsidRPr="004C3D50" w14:paraId="51176669" w14:textId="77777777" w:rsidTr="001C60EB">
        <w:trPr>
          <w:trHeight w:hRule="exact" w:val="338"/>
        </w:trPr>
        <w:tc>
          <w:tcPr>
            <w:tcW w:w="7340" w:type="dxa"/>
            <w:vMerge/>
          </w:tcPr>
          <w:p w14:paraId="12AFB11B" w14:textId="77777777" w:rsidR="004C3D50" w:rsidRPr="004C3D50" w:rsidRDefault="004C3D50" w:rsidP="004C3D50">
            <w:pPr>
              <w:spacing w:after="0" w:line="240" w:lineRule="auto"/>
              <w:ind w:left="0" w:firstLine="0"/>
              <w:jc w:val="left"/>
              <w:rPr>
                <w:color w:val="auto"/>
                <w:szCs w:val="24"/>
                <w:lang w:val="en-US"/>
              </w:rPr>
            </w:pPr>
          </w:p>
        </w:tc>
        <w:tc>
          <w:tcPr>
            <w:tcW w:w="1843" w:type="dxa"/>
          </w:tcPr>
          <w:p w14:paraId="792A1D5D" w14:textId="77777777" w:rsidR="004C3D50" w:rsidRPr="004C3D50" w:rsidRDefault="004C3D50" w:rsidP="004C3D50">
            <w:pPr>
              <w:spacing w:before="31" w:after="0" w:line="240" w:lineRule="auto"/>
              <w:ind w:left="102" w:firstLine="0"/>
              <w:jc w:val="left"/>
              <w:rPr>
                <w:color w:val="auto"/>
                <w:sz w:val="22"/>
                <w:lang w:val="en-US"/>
              </w:rPr>
            </w:pPr>
            <w:r w:rsidRPr="004C3D50">
              <w:rPr>
                <w:color w:val="auto"/>
                <w:spacing w:val="-1"/>
                <w:sz w:val="22"/>
                <w:lang w:val="en-US"/>
              </w:rPr>
              <w:t>Y</w:t>
            </w:r>
            <w:r w:rsidRPr="004C3D50">
              <w:rPr>
                <w:color w:val="auto"/>
                <w:sz w:val="22"/>
                <w:lang w:val="en-US"/>
              </w:rPr>
              <w:t>a</w:t>
            </w:r>
            <w:r w:rsidRPr="004C3D50">
              <w:rPr>
                <w:color w:val="auto"/>
                <w:spacing w:val="-2"/>
                <w:sz w:val="22"/>
                <w:lang w:val="en-US"/>
              </w:rPr>
              <w:t>y</w:t>
            </w:r>
            <w:r w:rsidRPr="004C3D50">
              <w:rPr>
                <w:color w:val="auto"/>
                <w:spacing w:val="1"/>
                <w:sz w:val="22"/>
                <w:lang w:val="en-US"/>
              </w:rPr>
              <w:t>ı</w:t>
            </w:r>
            <w:r w:rsidRPr="004C3D50">
              <w:rPr>
                <w:color w:val="auto"/>
                <w:sz w:val="22"/>
                <w:lang w:val="en-US"/>
              </w:rPr>
              <w:t xml:space="preserve">n </w:t>
            </w:r>
            <w:r w:rsidRPr="004C3D50">
              <w:rPr>
                <w:color w:val="auto"/>
                <w:spacing w:val="1"/>
                <w:sz w:val="22"/>
                <w:lang w:val="en-US"/>
              </w:rPr>
              <w:t>T</w:t>
            </w:r>
            <w:r w:rsidRPr="004C3D50">
              <w:rPr>
                <w:color w:val="auto"/>
                <w:sz w:val="22"/>
                <w:lang w:val="en-US"/>
              </w:rPr>
              <w:t>a</w:t>
            </w:r>
            <w:r w:rsidRPr="004C3D50">
              <w:rPr>
                <w:color w:val="auto"/>
                <w:spacing w:val="-1"/>
                <w:sz w:val="22"/>
                <w:lang w:val="en-US"/>
              </w:rPr>
              <w:t>r</w:t>
            </w:r>
            <w:r w:rsidRPr="004C3D50">
              <w:rPr>
                <w:color w:val="auto"/>
                <w:spacing w:val="1"/>
                <w:sz w:val="22"/>
                <w:lang w:val="en-US"/>
              </w:rPr>
              <w:t>i</w:t>
            </w:r>
            <w:r w:rsidRPr="004C3D50">
              <w:rPr>
                <w:color w:val="auto"/>
                <w:spacing w:val="-2"/>
                <w:sz w:val="22"/>
                <w:lang w:val="en-US"/>
              </w:rPr>
              <w:t>h</w:t>
            </w:r>
            <w:r w:rsidRPr="004C3D50">
              <w:rPr>
                <w:color w:val="auto"/>
                <w:sz w:val="22"/>
                <w:lang w:val="en-US"/>
              </w:rPr>
              <w:t>i</w:t>
            </w:r>
          </w:p>
        </w:tc>
        <w:tc>
          <w:tcPr>
            <w:tcW w:w="1292" w:type="dxa"/>
          </w:tcPr>
          <w:p w14:paraId="5FB580B4" w14:textId="7E1EADA4" w:rsidR="004C3D50" w:rsidRPr="004C3D50" w:rsidRDefault="004C3D50" w:rsidP="004C3D50">
            <w:pPr>
              <w:spacing w:before="31" w:after="0" w:line="240" w:lineRule="auto"/>
              <w:ind w:left="0" w:firstLine="0"/>
              <w:jc w:val="left"/>
              <w:rPr>
                <w:color w:val="auto"/>
                <w:sz w:val="22"/>
                <w:lang w:val="en-US"/>
              </w:rPr>
            </w:pPr>
            <w:r w:rsidRPr="004C3D50">
              <w:rPr>
                <w:color w:val="auto"/>
                <w:sz w:val="22"/>
                <w:lang w:val="en-US"/>
              </w:rPr>
              <w:t xml:space="preserve"> 03.0</w:t>
            </w:r>
            <w:r w:rsidR="00225A75">
              <w:rPr>
                <w:color w:val="auto"/>
                <w:sz w:val="22"/>
                <w:lang w:val="en-US"/>
              </w:rPr>
              <w:t>5</w:t>
            </w:r>
            <w:r w:rsidRPr="004C3D50">
              <w:rPr>
                <w:color w:val="auto"/>
                <w:sz w:val="22"/>
                <w:lang w:val="en-US"/>
              </w:rPr>
              <w:t>.2023</w:t>
            </w:r>
          </w:p>
        </w:tc>
      </w:tr>
      <w:tr w:rsidR="004C3D50" w:rsidRPr="004C3D50" w14:paraId="64935D54" w14:textId="77777777" w:rsidTr="001C60EB">
        <w:trPr>
          <w:trHeight w:hRule="exact" w:val="336"/>
        </w:trPr>
        <w:tc>
          <w:tcPr>
            <w:tcW w:w="7340" w:type="dxa"/>
            <w:vMerge/>
          </w:tcPr>
          <w:p w14:paraId="09C0AF00" w14:textId="77777777" w:rsidR="004C3D50" w:rsidRPr="004C3D50" w:rsidRDefault="004C3D50" w:rsidP="004C3D50">
            <w:pPr>
              <w:spacing w:after="0" w:line="240" w:lineRule="auto"/>
              <w:ind w:left="0" w:firstLine="0"/>
              <w:jc w:val="left"/>
              <w:rPr>
                <w:color w:val="auto"/>
                <w:szCs w:val="24"/>
                <w:lang w:val="en-US"/>
              </w:rPr>
            </w:pPr>
          </w:p>
        </w:tc>
        <w:tc>
          <w:tcPr>
            <w:tcW w:w="1843" w:type="dxa"/>
          </w:tcPr>
          <w:p w14:paraId="40065935" w14:textId="77777777" w:rsidR="004C3D50" w:rsidRPr="004C3D50" w:rsidRDefault="004C3D50" w:rsidP="004C3D50">
            <w:pPr>
              <w:spacing w:before="29" w:after="0" w:line="240" w:lineRule="auto"/>
              <w:ind w:left="102" w:firstLine="0"/>
              <w:jc w:val="left"/>
              <w:rPr>
                <w:color w:val="auto"/>
                <w:sz w:val="22"/>
                <w:lang w:val="en-US"/>
              </w:rPr>
            </w:pPr>
            <w:r w:rsidRPr="004C3D50">
              <w:rPr>
                <w:color w:val="auto"/>
                <w:spacing w:val="-1"/>
                <w:sz w:val="22"/>
                <w:lang w:val="en-US"/>
              </w:rPr>
              <w:t>R</w:t>
            </w:r>
            <w:r w:rsidRPr="004C3D50">
              <w:rPr>
                <w:color w:val="auto"/>
                <w:sz w:val="22"/>
                <w:lang w:val="en-US"/>
              </w:rPr>
              <w:t>e</w:t>
            </w:r>
            <w:r w:rsidRPr="004C3D50">
              <w:rPr>
                <w:color w:val="auto"/>
                <w:spacing w:val="-2"/>
                <w:sz w:val="22"/>
                <w:lang w:val="en-US"/>
              </w:rPr>
              <w:t>v</w:t>
            </w:r>
            <w:r w:rsidRPr="004C3D50">
              <w:rPr>
                <w:color w:val="auto"/>
                <w:spacing w:val="1"/>
                <w:sz w:val="22"/>
                <w:lang w:val="en-US"/>
              </w:rPr>
              <w:t>i</w:t>
            </w:r>
            <w:r w:rsidRPr="004C3D50">
              <w:rPr>
                <w:color w:val="auto"/>
                <w:sz w:val="22"/>
                <w:lang w:val="en-US"/>
              </w:rPr>
              <w:t>z</w:t>
            </w:r>
            <w:r w:rsidRPr="004C3D50">
              <w:rPr>
                <w:color w:val="auto"/>
                <w:spacing w:val="-2"/>
                <w:sz w:val="22"/>
                <w:lang w:val="en-US"/>
              </w:rPr>
              <w:t>y</w:t>
            </w:r>
            <w:r w:rsidRPr="004C3D50">
              <w:rPr>
                <w:color w:val="auto"/>
                <w:sz w:val="22"/>
                <w:lang w:val="en-US"/>
              </w:rPr>
              <w:t xml:space="preserve">on </w:t>
            </w:r>
            <w:r w:rsidRPr="004C3D50">
              <w:rPr>
                <w:color w:val="auto"/>
                <w:spacing w:val="1"/>
                <w:sz w:val="22"/>
                <w:lang w:val="en-US"/>
              </w:rPr>
              <w:t>T</w:t>
            </w:r>
            <w:r w:rsidRPr="004C3D50">
              <w:rPr>
                <w:color w:val="auto"/>
                <w:sz w:val="22"/>
                <w:lang w:val="en-US"/>
              </w:rPr>
              <w:t>a</w:t>
            </w:r>
            <w:r w:rsidRPr="004C3D50">
              <w:rPr>
                <w:color w:val="auto"/>
                <w:spacing w:val="-1"/>
                <w:sz w:val="22"/>
                <w:lang w:val="en-US"/>
              </w:rPr>
              <w:t>r</w:t>
            </w:r>
            <w:r w:rsidRPr="004C3D50">
              <w:rPr>
                <w:color w:val="auto"/>
                <w:spacing w:val="1"/>
                <w:sz w:val="22"/>
                <w:lang w:val="en-US"/>
              </w:rPr>
              <w:t>i</w:t>
            </w:r>
            <w:r w:rsidRPr="004C3D50">
              <w:rPr>
                <w:color w:val="auto"/>
                <w:sz w:val="22"/>
                <w:lang w:val="en-US"/>
              </w:rPr>
              <w:t>hi</w:t>
            </w:r>
          </w:p>
        </w:tc>
        <w:tc>
          <w:tcPr>
            <w:tcW w:w="1292" w:type="dxa"/>
          </w:tcPr>
          <w:p w14:paraId="4E9927A9" w14:textId="77777777" w:rsidR="004C3D50" w:rsidRPr="004C3D50" w:rsidRDefault="004C3D50" w:rsidP="004C3D50">
            <w:pPr>
              <w:spacing w:before="29" w:after="0" w:line="240" w:lineRule="auto"/>
              <w:ind w:left="0" w:firstLine="0"/>
              <w:jc w:val="left"/>
              <w:rPr>
                <w:color w:val="auto"/>
                <w:sz w:val="22"/>
                <w:lang w:val="en-US"/>
              </w:rPr>
            </w:pPr>
          </w:p>
        </w:tc>
      </w:tr>
      <w:tr w:rsidR="004C3D50" w:rsidRPr="004C3D50" w14:paraId="0D58B0C7" w14:textId="77777777" w:rsidTr="001C60EB">
        <w:trPr>
          <w:trHeight w:hRule="exact" w:val="339"/>
        </w:trPr>
        <w:tc>
          <w:tcPr>
            <w:tcW w:w="7340" w:type="dxa"/>
            <w:vMerge/>
          </w:tcPr>
          <w:p w14:paraId="04703EAE" w14:textId="77777777" w:rsidR="004C3D50" w:rsidRPr="004C3D50" w:rsidRDefault="004C3D50" w:rsidP="004C3D50">
            <w:pPr>
              <w:spacing w:after="0" w:line="240" w:lineRule="auto"/>
              <w:ind w:left="0" w:firstLine="0"/>
              <w:jc w:val="left"/>
              <w:rPr>
                <w:color w:val="auto"/>
                <w:szCs w:val="24"/>
                <w:lang w:val="en-US"/>
              </w:rPr>
            </w:pPr>
          </w:p>
        </w:tc>
        <w:tc>
          <w:tcPr>
            <w:tcW w:w="1843" w:type="dxa"/>
          </w:tcPr>
          <w:p w14:paraId="6121408C" w14:textId="77777777" w:rsidR="004C3D50" w:rsidRPr="004C3D50" w:rsidRDefault="004C3D50" w:rsidP="004C3D50">
            <w:pPr>
              <w:spacing w:before="31" w:after="0" w:line="240" w:lineRule="auto"/>
              <w:ind w:left="102" w:firstLine="0"/>
              <w:jc w:val="left"/>
              <w:rPr>
                <w:color w:val="auto"/>
                <w:sz w:val="22"/>
                <w:lang w:val="en-US"/>
              </w:rPr>
            </w:pPr>
            <w:r w:rsidRPr="004C3D50">
              <w:rPr>
                <w:color w:val="auto"/>
                <w:spacing w:val="-1"/>
                <w:sz w:val="22"/>
                <w:lang w:val="en-US"/>
              </w:rPr>
              <w:t>R</w:t>
            </w:r>
            <w:r w:rsidRPr="004C3D50">
              <w:rPr>
                <w:color w:val="auto"/>
                <w:sz w:val="22"/>
                <w:lang w:val="en-US"/>
              </w:rPr>
              <w:t>e</w:t>
            </w:r>
            <w:r w:rsidRPr="004C3D50">
              <w:rPr>
                <w:color w:val="auto"/>
                <w:spacing w:val="-2"/>
                <w:sz w:val="22"/>
                <w:lang w:val="en-US"/>
              </w:rPr>
              <w:t>v</w:t>
            </w:r>
            <w:r w:rsidRPr="004C3D50">
              <w:rPr>
                <w:color w:val="auto"/>
                <w:spacing w:val="1"/>
                <w:sz w:val="22"/>
                <w:lang w:val="en-US"/>
              </w:rPr>
              <w:t>i</w:t>
            </w:r>
            <w:r w:rsidRPr="004C3D50">
              <w:rPr>
                <w:color w:val="auto"/>
                <w:sz w:val="22"/>
                <w:lang w:val="en-US"/>
              </w:rPr>
              <w:t>z</w:t>
            </w:r>
            <w:r w:rsidRPr="004C3D50">
              <w:rPr>
                <w:color w:val="auto"/>
                <w:spacing w:val="-2"/>
                <w:sz w:val="22"/>
                <w:lang w:val="en-US"/>
              </w:rPr>
              <w:t>y</w:t>
            </w:r>
            <w:r w:rsidRPr="004C3D50">
              <w:rPr>
                <w:color w:val="auto"/>
                <w:sz w:val="22"/>
                <w:lang w:val="en-US"/>
              </w:rPr>
              <w:t xml:space="preserve">on </w:t>
            </w:r>
            <w:r w:rsidRPr="004C3D50">
              <w:rPr>
                <w:color w:val="auto"/>
                <w:spacing w:val="-1"/>
                <w:sz w:val="22"/>
                <w:lang w:val="en-US"/>
              </w:rPr>
              <w:t>N</w:t>
            </w:r>
            <w:r w:rsidRPr="004C3D50">
              <w:rPr>
                <w:color w:val="auto"/>
                <w:sz w:val="22"/>
                <w:lang w:val="en-US"/>
              </w:rPr>
              <w:t>o.</w:t>
            </w:r>
          </w:p>
        </w:tc>
        <w:tc>
          <w:tcPr>
            <w:tcW w:w="1292" w:type="dxa"/>
          </w:tcPr>
          <w:p w14:paraId="53B6228F" w14:textId="77777777" w:rsidR="004C3D50" w:rsidRPr="004C3D50" w:rsidRDefault="004C3D50" w:rsidP="004C3D50">
            <w:pPr>
              <w:spacing w:before="31" w:after="0" w:line="240" w:lineRule="auto"/>
              <w:ind w:left="102" w:firstLine="0"/>
              <w:jc w:val="left"/>
              <w:rPr>
                <w:color w:val="auto"/>
                <w:sz w:val="22"/>
                <w:lang w:val="en-US"/>
              </w:rPr>
            </w:pPr>
            <w:r w:rsidRPr="004C3D50">
              <w:rPr>
                <w:color w:val="auto"/>
                <w:sz w:val="22"/>
                <w:lang w:val="en-US"/>
              </w:rPr>
              <w:t>00</w:t>
            </w:r>
          </w:p>
        </w:tc>
      </w:tr>
      <w:tr w:rsidR="004C3D50" w:rsidRPr="004C3D50" w14:paraId="6AB0EC69" w14:textId="77777777" w:rsidTr="001C60EB">
        <w:trPr>
          <w:trHeight w:hRule="exact" w:val="384"/>
        </w:trPr>
        <w:tc>
          <w:tcPr>
            <w:tcW w:w="7340" w:type="dxa"/>
            <w:vMerge/>
          </w:tcPr>
          <w:p w14:paraId="1E827A31" w14:textId="77777777" w:rsidR="004C3D50" w:rsidRPr="004C3D50" w:rsidRDefault="004C3D50" w:rsidP="004C3D50">
            <w:pPr>
              <w:spacing w:after="0" w:line="240" w:lineRule="auto"/>
              <w:ind w:left="0" w:firstLine="0"/>
              <w:jc w:val="left"/>
              <w:rPr>
                <w:color w:val="auto"/>
                <w:szCs w:val="24"/>
                <w:lang w:val="en-US"/>
              </w:rPr>
            </w:pPr>
          </w:p>
        </w:tc>
        <w:tc>
          <w:tcPr>
            <w:tcW w:w="1843" w:type="dxa"/>
          </w:tcPr>
          <w:p w14:paraId="0E96709D" w14:textId="77777777" w:rsidR="004C3D50" w:rsidRPr="004C3D50" w:rsidRDefault="004C3D50" w:rsidP="004C3D50">
            <w:pPr>
              <w:spacing w:before="53" w:after="0" w:line="240" w:lineRule="auto"/>
              <w:ind w:left="102" w:firstLine="0"/>
              <w:jc w:val="left"/>
              <w:rPr>
                <w:color w:val="auto"/>
                <w:sz w:val="22"/>
                <w:lang w:val="en-US"/>
              </w:rPr>
            </w:pPr>
            <w:r w:rsidRPr="004C3D50">
              <w:rPr>
                <w:color w:val="auto"/>
                <w:sz w:val="22"/>
                <w:lang w:val="en-US"/>
              </w:rPr>
              <w:t>Sa</w:t>
            </w:r>
            <w:r w:rsidRPr="004C3D50">
              <w:rPr>
                <w:color w:val="auto"/>
                <w:spacing w:val="-2"/>
                <w:sz w:val="22"/>
                <w:lang w:val="en-US"/>
              </w:rPr>
              <w:t>y</w:t>
            </w:r>
            <w:r w:rsidRPr="004C3D50">
              <w:rPr>
                <w:color w:val="auto"/>
                <w:spacing w:val="1"/>
                <w:sz w:val="22"/>
                <w:lang w:val="en-US"/>
              </w:rPr>
              <w:t>f</w:t>
            </w:r>
            <w:r w:rsidRPr="004C3D50">
              <w:rPr>
                <w:color w:val="auto"/>
                <w:sz w:val="22"/>
                <w:lang w:val="en-US"/>
              </w:rPr>
              <w:t>a</w:t>
            </w:r>
            <w:r w:rsidRPr="004C3D50">
              <w:rPr>
                <w:color w:val="auto"/>
                <w:spacing w:val="1"/>
                <w:sz w:val="22"/>
                <w:lang w:val="en-US"/>
              </w:rPr>
              <w:t xml:space="preserve"> </w:t>
            </w:r>
            <w:r w:rsidRPr="004C3D50">
              <w:rPr>
                <w:color w:val="auto"/>
                <w:spacing w:val="-1"/>
                <w:sz w:val="22"/>
                <w:lang w:val="en-US"/>
              </w:rPr>
              <w:t>N</w:t>
            </w:r>
            <w:r w:rsidRPr="004C3D50">
              <w:rPr>
                <w:color w:val="auto"/>
                <w:sz w:val="22"/>
                <w:lang w:val="en-US"/>
              </w:rPr>
              <w:t>o.</w:t>
            </w:r>
          </w:p>
        </w:tc>
        <w:tc>
          <w:tcPr>
            <w:tcW w:w="1292" w:type="dxa"/>
          </w:tcPr>
          <w:p w14:paraId="3C6ADD19" w14:textId="6B918D6F" w:rsidR="004C3D50" w:rsidRPr="004C3D50" w:rsidRDefault="00087A15" w:rsidP="004C3D50">
            <w:pPr>
              <w:spacing w:before="53" w:after="0" w:line="240" w:lineRule="auto"/>
              <w:ind w:left="0" w:firstLine="0"/>
              <w:jc w:val="left"/>
              <w:rPr>
                <w:color w:val="auto"/>
                <w:sz w:val="22"/>
                <w:lang w:val="en-US"/>
              </w:rPr>
            </w:pPr>
            <w:r w:rsidRPr="00087A15">
              <w:rPr>
                <w:color w:val="auto"/>
                <w:sz w:val="22"/>
                <w:lang w:val="en-US"/>
              </w:rPr>
              <w:t xml:space="preserve"> 1/2</w:t>
            </w:r>
          </w:p>
        </w:tc>
      </w:tr>
    </w:tbl>
    <w:p w14:paraId="18E05777" w14:textId="77777777" w:rsidR="004C3D50" w:rsidRPr="00BE015C" w:rsidRDefault="004C3D50" w:rsidP="00265D84">
      <w:pPr>
        <w:numPr>
          <w:ilvl w:val="0"/>
          <w:numId w:val="1"/>
        </w:numPr>
        <w:ind w:left="284" w:firstLine="142"/>
        <w:rPr>
          <w:szCs w:val="24"/>
        </w:rPr>
      </w:pPr>
      <w:r w:rsidRPr="00BE015C">
        <w:rPr>
          <w:b/>
          <w:szCs w:val="24"/>
        </w:rPr>
        <w:t xml:space="preserve">AMAÇ: </w:t>
      </w:r>
      <w:r w:rsidRPr="00BE015C">
        <w:rPr>
          <w:szCs w:val="24"/>
        </w:rPr>
        <w:t xml:space="preserve">Merkezimizde kamu zararı oluşumunun önlenmesi, ilaç ve tıbbi sarf malzemelerin son </w:t>
      </w:r>
    </w:p>
    <w:p w14:paraId="718834B6" w14:textId="77777777" w:rsidR="004C3D50" w:rsidRPr="00BE015C" w:rsidRDefault="004C3D50" w:rsidP="00265D84">
      <w:pPr>
        <w:ind w:left="284" w:firstLine="142"/>
        <w:rPr>
          <w:szCs w:val="24"/>
        </w:rPr>
      </w:pPr>
      <w:r w:rsidRPr="00BE015C">
        <w:rPr>
          <w:szCs w:val="24"/>
        </w:rPr>
        <w:t xml:space="preserve">kullanma tarihinden sonra kullanılmasından doğabilecek sorunların önlenmesidir.  </w:t>
      </w:r>
    </w:p>
    <w:p w14:paraId="115B2B12" w14:textId="77777777" w:rsidR="004C3D50" w:rsidRPr="00BE015C" w:rsidRDefault="004C3D50" w:rsidP="00265D84">
      <w:pPr>
        <w:spacing w:after="0"/>
        <w:ind w:left="284" w:firstLine="142"/>
        <w:rPr>
          <w:szCs w:val="24"/>
        </w:rPr>
      </w:pPr>
      <w:r w:rsidRPr="00BE015C">
        <w:rPr>
          <w:szCs w:val="24"/>
        </w:rPr>
        <w:t xml:space="preserve"> </w:t>
      </w:r>
    </w:p>
    <w:p w14:paraId="71901C3D" w14:textId="77777777" w:rsidR="004C3D50" w:rsidRPr="00BE015C" w:rsidRDefault="004C3D50" w:rsidP="00265D84">
      <w:pPr>
        <w:numPr>
          <w:ilvl w:val="0"/>
          <w:numId w:val="1"/>
        </w:numPr>
        <w:ind w:left="284" w:firstLine="142"/>
        <w:rPr>
          <w:szCs w:val="24"/>
        </w:rPr>
      </w:pPr>
      <w:r w:rsidRPr="00BE015C">
        <w:rPr>
          <w:b/>
          <w:szCs w:val="24"/>
        </w:rPr>
        <w:t xml:space="preserve">KAPSAM: </w:t>
      </w:r>
      <w:r w:rsidRPr="00BE015C">
        <w:rPr>
          <w:szCs w:val="24"/>
        </w:rPr>
        <w:t xml:space="preserve">Bu talimat Klinikler, Laboratuvarlar ve medikal depoda bulunan ilaç ve tıbbi sarf </w:t>
      </w:r>
    </w:p>
    <w:p w14:paraId="40985409" w14:textId="43D032E4" w:rsidR="004C3D50" w:rsidRPr="00BE015C" w:rsidRDefault="004C3D50" w:rsidP="00265D84">
      <w:pPr>
        <w:ind w:left="284" w:firstLine="142"/>
        <w:rPr>
          <w:szCs w:val="24"/>
        </w:rPr>
      </w:pPr>
      <w:r w:rsidRPr="00BE015C">
        <w:rPr>
          <w:szCs w:val="24"/>
        </w:rPr>
        <w:t>malzemelerin mia</w:t>
      </w:r>
      <w:r w:rsidR="00D756DF">
        <w:rPr>
          <w:szCs w:val="24"/>
        </w:rPr>
        <w:t>t</w:t>
      </w:r>
      <w:r w:rsidRPr="00BE015C">
        <w:rPr>
          <w:szCs w:val="24"/>
        </w:rPr>
        <w:t xml:space="preserve">larının yönetimini kapsar.  </w:t>
      </w:r>
    </w:p>
    <w:p w14:paraId="5E2110B7" w14:textId="77777777" w:rsidR="00265D84" w:rsidRPr="00BE015C" w:rsidRDefault="00265D84" w:rsidP="00265D84">
      <w:pPr>
        <w:ind w:left="284" w:firstLine="142"/>
        <w:rPr>
          <w:szCs w:val="24"/>
        </w:rPr>
      </w:pPr>
    </w:p>
    <w:p w14:paraId="08F7A7AA" w14:textId="77777777" w:rsidR="00265D84" w:rsidRPr="00BE015C" w:rsidRDefault="004C3D50" w:rsidP="00265D84">
      <w:pPr>
        <w:spacing w:after="120" w:line="276" w:lineRule="auto"/>
        <w:ind w:left="284" w:firstLine="142"/>
        <w:rPr>
          <w:b/>
          <w:szCs w:val="24"/>
        </w:rPr>
      </w:pPr>
      <w:r w:rsidRPr="00BE015C">
        <w:rPr>
          <w:szCs w:val="24"/>
        </w:rPr>
        <w:t xml:space="preserve"> </w:t>
      </w:r>
      <w:r w:rsidR="00265D84" w:rsidRPr="00BE015C">
        <w:rPr>
          <w:b/>
          <w:szCs w:val="24"/>
        </w:rPr>
        <w:t>3. KISALTMALAR:</w:t>
      </w:r>
    </w:p>
    <w:p w14:paraId="1FE7D6BD" w14:textId="77777777" w:rsidR="00265D84" w:rsidRPr="00BE015C" w:rsidRDefault="00265D84" w:rsidP="00265D84">
      <w:pPr>
        <w:spacing w:after="120" w:line="276" w:lineRule="auto"/>
        <w:ind w:left="284" w:firstLine="142"/>
        <w:rPr>
          <w:szCs w:val="24"/>
        </w:rPr>
      </w:pPr>
      <w:r w:rsidRPr="00BE015C">
        <w:rPr>
          <w:b/>
          <w:szCs w:val="24"/>
        </w:rPr>
        <w:t xml:space="preserve">HBYS: </w:t>
      </w:r>
      <w:r w:rsidRPr="00BE015C">
        <w:rPr>
          <w:szCs w:val="24"/>
        </w:rPr>
        <w:t>Hastane Bilgi Yönetim Sistemi</w:t>
      </w:r>
    </w:p>
    <w:p w14:paraId="2EDCAB1F" w14:textId="1C25CA0F" w:rsidR="004C3D50" w:rsidRPr="00BE015C" w:rsidRDefault="004C3D50" w:rsidP="00265D84">
      <w:pPr>
        <w:spacing w:after="0"/>
        <w:ind w:left="284" w:firstLine="142"/>
        <w:rPr>
          <w:szCs w:val="24"/>
        </w:rPr>
      </w:pPr>
    </w:p>
    <w:p w14:paraId="5231CF5A" w14:textId="03AA6423" w:rsidR="004C3D50" w:rsidRPr="00BE015C" w:rsidRDefault="004C3D50" w:rsidP="00265D84">
      <w:pPr>
        <w:pStyle w:val="ListeParagraf"/>
        <w:numPr>
          <w:ilvl w:val="0"/>
          <w:numId w:val="4"/>
        </w:numPr>
        <w:spacing w:after="1"/>
        <w:ind w:left="284" w:firstLine="142"/>
        <w:jc w:val="both"/>
        <w:rPr>
          <w:rFonts w:ascii="Times New Roman" w:hAnsi="Times New Roman" w:cs="Times New Roman"/>
          <w:sz w:val="24"/>
          <w:szCs w:val="24"/>
        </w:rPr>
      </w:pPr>
      <w:r w:rsidRPr="00BE015C">
        <w:rPr>
          <w:rFonts w:ascii="Times New Roman" w:hAnsi="Times New Roman" w:cs="Times New Roman"/>
          <w:b/>
          <w:sz w:val="24"/>
          <w:szCs w:val="24"/>
        </w:rPr>
        <w:t xml:space="preserve">SORUMLULAR:  </w:t>
      </w:r>
      <w:r w:rsidRPr="00BE015C">
        <w:rPr>
          <w:rFonts w:ascii="Times New Roman" w:hAnsi="Times New Roman" w:cs="Times New Roman"/>
          <w:sz w:val="24"/>
          <w:szCs w:val="24"/>
        </w:rPr>
        <w:t xml:space="preserve"> </w:t>
      </w:r>
    </w:p>
    <w:p w14:paraId="5BEC8EB4" w14:textId="77777777" w:rsidR="004C3D50" w:rsidRDefault="004C3D50" w:rsidP="00BE015C">
      <w:pPr>
        <w:ind w:left="426" w:firstLine="0"/>
        <w:jc w:val="left"/>
        <w:rPr>
          <w:szCs w:val="24"/>
        </w:rPr>
      </w:pPr>
      <w:r w:rsidRPr="00BE015C">
        <w:rPr>
          <w:szCs w:val="24"/>
        </w:rPr>
        <w:t xml:space="preserve">Merkez Yönetimi  </w:t>
      </w:r>
    </w:p>
    <w:p w14:paraId="3A34E84C" w14:textId="049FAD1D" w:rsidR="00BE015C" w:rsidRPr="00BE015C" w:rsidRDefault="00BE015C" w:rsidP="00BE015C">
      <w:pPr>
        <w:ind w:left="426" w:firstLine="0"/>
        <w:jc w:val="left"/>
        <w:rPr>
          <w:szCs w:val="24"/>
        </w:rPr>
      </w:pPr>
      <w:r>
        <w:rPr>
          <w:szCs w:val="24"/>
        </w:rPr>
        <w:t>Farmakovijilans Sorumlusu</w:t>
      </w:r>
    </w:p>
    <w:p w14:paraId="18BB9145" w14:textId="799F9188" w:rsidR="004C3D50" w:rsidRPr="00BE015C" w:rsidRDefault="004C3D50" w:rsidP="00BE015C">
      <w:pPr>
        <w:spacing w:after="109"/>
        <w:ind w:left="426" w:firstLine="0"/>
        <w:jc w:val="left"/>
        <w:rPr>
          <w:szCs w:val="24"/>
        </w:rPr>
      </w:pPr>
      <w:r w:rsidRPr="00BE015C">
        <w:rPr>
          <w:szCs w:val="24"/>
        </w:rPr>
        <w:t xml:space="preserve">Hekim ve tüm yardımcı sağlık personelleri  </w:t>
      </w:r>
      <w:r w:rsidR="00BE015C">
        <w:rPr>
          <w:szCs w:val="24"/>
        </w:rPr>
        <w:t xml:space="preserve">                                                                                                            </w:t>
      </w:r>
      <w:r w:rsidRPr="00BE015C">
        <w:rPr>
          <w:szCs w:val="24"/>
        </w:rPr>
        <w:t xml:space="preserve">Taşınır Kayıt ve Kontrol Yetkilileri  </w:t>
      </w:r>
    </w:p>
    <w:p w14:paraId="6EC0C301" w14:textId="77777777" w:rsidR="004C3D50" w:rsidRPr="00BE015C" w:rsidRDefault="004C3D50" w:rsidP="00265D84">
      <w:pPr>
        <w:spacing w:after="26"/>
        <w:ind w:left="284" w:firstLine="142"/>
        <w:rPr>
          <w:szCs w:val="24"/>
        </w:rPr>
      </w:pPr>
      <w:r w:rsidRPr="00BE015C">
        <w:rPr>
          <w:szCs w:val="24"/>
        </w:rPr>
        <w:t xml:space="preserve"> </w:t>
      </w:r>
    </w:p>
    <w:p w14:paraId="7405ED61" w14:textId="77777777" w:rsidR="004C3D50" w:rsidRPr="00BE015C" w:rsidRDefault="004C3D50" w:rsidP="00265D84">
      <w:pPr>
        <w:numPr>
          <w:ilvl w:val="0"/>
          <w:numId w:val="4"/>
        </w:numPr>
        <w:spacing w:after="0"/>
        <w:ind w:left="284" w:firstLine="142"/>
        <w:rPr>
          <w:szCs w:val="24"/>
        </w:rPr>
      </w:pPr>
      <w:r w:rsidRPr="00BE015C">
        <w:rPr>
          <w:b/>
          <w:szCs w:val="24"/>
        </w:rPr>
        <w:t xml:space="preserve">FAALİYET AKIŞI  </w:t>
      </w:r>
    </w:p>
    <w:p w14:paraId="3B1DBFD4" w14:textId="41985C5F" w:rsidR="004C3D50" w:rsidRPr="00BE015C" w:rsidRDefault="004C3D50" w:rsidP="00265D84">
      <w:pPr>
        <w:spacing w:after="23"/>
        <w:ind w:left="284" w:firstLine="142"/>
        <w:rPr>
          <w:szCs w:val="24"/>
        </w:rPr>
      </w:pPr>
      <w:r w:rsidRPr="00BE015C">
        <w:rPr>
          <w:b/>
          <w:szCs w:val="24"/>
        </w:rPr>
        <w:t xml:space="preserve"> </w:t>
      </w:r>
      <w:r w:rsidRPr="00BE015C">
        <w:rPr>
          <w:szCs w:val="24"/>
        </w:rPr>
        <w:t xml:space="preserve"> </w:t>
      </w:r>
    </w:p>
    <w:p w14:paraId="1AAEB554" w14:textId="43D4AA07" w:rsidR="00265D84" w:rsidRPr="00D64469" w:rsidRDefault="004D73F7" w:rsidP="00D64469">
      <w:pPr>
        <w:pStyle w:val="ListeParagraf"/>
        <w:numPr>
          <w:ilvl w:val="0"/>
          <w:numId w:val="6"/>
        </w:numPr>
        <w:spacing w:after="115"/>
        <w:ind w:left="567" w:hanging="141"/>
        <w:jc w:val="both"/>
        <w:rPr>
          <w:rFonts w:ascii="Times New Roman" w:hAnsi="Times New Roman" w:cs="Times New Roman"/>
          <w:sz w:val="24"/>
          <w:szCs w:val="24"/>
        </w:rPr>
      </w:pPr>
      <w:r w:rsidRPr="00D64469">
        <w:rPr>
          <w:rFonts w:ascii="Times New Roman" w:hAnsi="Times New Roman" w:cs="Times New Roman"/>
          <w:sz w:val="24"/>
          <w:szCs w:val="24"/>
        </w:rPr>
        <w:t>Birimlerde/Depolarda bulunan ilaç ve tıbbi sarf malzemelerin mia</w:t>
      </w:r>
      <w:r w:rsidR="00D756DF" w:rsidRPr="00D64469">
        <w:rPr>
          <w:rFonts w:ascii="Times New Roman" w:hAnsi="Times New Roman" w:cs="Times New Roman"/>
          <w:sz w:val="24"/>
          <w:szCs w:val="24"/>
        </w:rPr>
        <w:t>t</w:t>
      </w:r>
      <w:r w:rsidRPr="00D64469">
        <w:rPr>
          <w:rFonts w:ascii="Times New Roman" w:hAnsi="Times New Roman" w:cs="Times New Roman"/>
          <w:sz w:val="24"/>
          <w:szCs w:val="24"/>
        </w:rPr>
        <w:t xml:space="preserve"> kontrolü, İlgili birim sorumluları ve Taşınır Birim sorumluları tarafından aylık periyotlarla yapılır. Stoktaki fiili ürünlerin miadı ile HBYS deki miadın uyumlu olması sağlanır. </w:t>
      </w:r>
    </w:p>
    <w:p w14:paraId="317DBBFC" w14:textId="7FF216CD" w:rsidR="00265D84" w:rsidRPr="00D64469" w:rsidRDefault="004D73F7" w:rsidP="00D64469">
      <w:pPr>
        <w:pStyle w:val="ListeParagraf"/>
        <w:numPr>
          <w:ilvl w:val="0"/>
          <w:numId w:val="6"/>
        </w:numPr>
        <w:spacing w:after="115"/>
        <w:ind w:left="567" w:hanging="141"/>
        <w:jc w:val="both"/>
        <w:rPr>
          <w:rFonts w:ascii="Times New Roman" w:hAnsi="Times New Roman" w:cs="Times New Roman"/>
          <w:sz w:val="24"/>
          <w:szCs w:val="24"/>
        </w:rPr>
      </w:pPr>
      <w:r w:rsidRPr="00D64469">
        <w:rPr>
          <w:rFonts w:ascii="Times New Roman" w:hAnsi="Times New Roman" w:cs="Times New Roman"/>
          <w:sz w:val="24"/>
          <w:szCs w:val="24"/>
        </w:rPr>
        <w:t xml:space="preserve">İlaç ve tıbbi sarfların depoya/raflara yerleşiminde; son kullanma tarihi yakın olan malzemelerin ön kısma yerleştirilip, öncelikli tüketimleri sağlanır. </w:t>
      </w:r>
    </w:p>
    <w:p w14:paraId="1FB74310" w14:textId="299F008E" w:rsidR="00D64469" w:rsidRPr="00D64469" w:rsidRDefault="00D64469" w:rsidP="00D64469">
      <w:pPr>
        <w:pStyle w:val="ListeParagraf"/>
        <w:numPr>
          <w:ilvl w:val="0"/>
          <w:numId w:val="6"/>
        </w:numPr>
        <w:spacing w:after="115"/>
        <w:ind w:left="567" w:hanging="141"/>
        <w:jc w:val="both"/>
        <w:rPr>
          <w:rFonts w:ascii="Times New Roman" w:hAnsi="Times New Roman" w:cs="Times New Roman"/>
          <w:sz w:val="24"/>
          <w:szCs w:val="24"/>
        </w:rPr>
      </w:pPr>
      <w:r w:rsidRPr="00D64469">
        <w:rPr>
          <w:rFonts w:ascii="Times New Roman" w:hAnsi="Times New Roman" w:cs="Times New Roman"/>
          <w:sz w:val="24"/>
          <w:szCs w:val="24"/>
        </w:rPr>
        <w:t>Miat kontrolünün daha sağlıklı olabilmesi için fatura girişleri sırasında otomasyon sistemine son kullanma tarihi bilgisi işlenmelidir. Otomasyon sistemi miat dolmasına 6 ay kala her HBYS açılışında uyarı verecek şekilde düzenlenir.</w:t>
      </w:r>
    </w:p>
    <w:p w14:paraId="1F91E59C" w14:textId="17186B38" w:rsidR="00D64469" w:rsidRDefault="00D64469" w:rsidP="00D64469">
      <w:pPr>
        <w:pStyle w:val="ListeParagraf"/>
        <w:numPr>
          <w:ilvl w:val="0"/>
          <w:numId w:val="6"/>
        </w:numPr>
        <w:spacing w:after="115"/>
        <w:ind w:left="567" w:hanging="141"/>
        <w:jc w:val="both"/>
        <w:rPr>
          <w:rFonts w:ascii="Times New Roman" w:hAnsi="Times New Roman" w:cs="Times New Roman"/>
          <w:sz w:val="24"/>
          <w:szCs w:val="24"/>
        </w:rPr>
      </w:pPr>
      <w:r w:rsidRPr="00D64469">
        <w:rPr>
          <w:rFonts w:ascii="Times New Roman" w:hAnsi="Times New Roman" w:cs="Times New Roman"/>
          <w:sz w:val="24"/>
          <w:szCs w:val="24"/>
        </w:rPr>
        <w:t xml:space="preserve">Malzemelerin miadının dolmasına 6 ay kala İlgili birim sorumluları tarafından Taşınır Birim sorumlularına bildirilir. Depodaki malzemeler taşınır birim sorumlusu tarafından belirlenir. Miadı yaklaşan malzemeler çok tüketim yapılan birimlere verilerek tüketilmesi sağlanır.  Bu yapılamayacak ise, </w:t>
      </w:r>
      <w:r w:rsidR="000F1094">
        <w:rPr>
          <w:rFonts w:ascii="Times New Roman" w:hAnsi="Times New Roman" w:cs="Times New Roman"/>
          <w:sz w:val="24"/>
          <w:szCs w:val="24"/>
        </w:rPr>
        <w:t>e</w:t>
      </w:r>
      <w:r w:rsidRPr="00D64469">
        <w:rPr>
          <w:rFonts w:ascii="Times New Roman" w:hAnsi="Times New Roman" w:cs="Times New Roman"/>
          <w:sz w:val="24"/>
          <w:szCs w:val="24"/>
        </w:rPr>
        <w:t>ğer</w:t>
      </w:r>
      <w:r w:rsidR="001A60F8">
        <w:rPr>
          <w:rFonts w:ascii="Times New Roman" w:hAnsi="Times New Roman" w:cs="Times New Roman"/>
          <w:sz w:val="24"/>
          <w:szCs w:val="24"/>
        </w:rPr>
        <w:t xml:space="preserve"> </w:t>
      </w:r>
      <w:r w:rsidRPr="00D64469">
        <w:rPr>
          <w:rFonts w:ascii="Times New Roman" w:hAnsi="Times New Roman" w:cs="Times New Roman"/>
          <w:sz w:val="24"/>
          <w:szCs w:val="24"/>
        </w:rPr>
        <w:t>ilgili mevzuatlar da uygunsa; miadının dolmasına teknik şartnamede bildirilen süreden 6 ay öncesine kadar yüklenici firmaya mia</w:t>
      </w:r>
      <w:r>
        <w:rPr>
          <w:rFonts w:ascii="Times New Roman" w:hAnsi="Times New Roman" w:cs="Times New Roman"/>
          <w:sz w:val="24"/>
          <w:szCs w:val="24"/>
        </w:rPr>
        <w:t>t</w:t>
      </w:r>
      <w:r w:rsidRPr="00D64469">
        <w:rPr>
          <w:rFonts w:ascii="Times New Roman" w:hAnsi="Times New Roman" w:cs="Times New Roman"/>
          <w:sz w:val="24"/>
          <w:szCs w:val="24"/>
        </w:rPr>
        <w:t xml:space="preserve"> değişim yazısı ile değişim talebi yapılır. Kullanım süresi dolmak üzere olan tüm medikal malzemeler kamu zararına sebebiyet verilmeden değiştirilmesi sağlanır. </w:t>
      </w:r>
    </w:p>
    <w:p w14:paraId="3C7B3437" w14:textId="5B3B1CAE" w:rsidR="00D64469" w:rsidRPr="00D64469" w:rsidRDefault="00D64469" w:rsidP="00D64469">
      <w:pPr>
        <w:pStyle w:val="ListeParagraf"/>
        <w:numPr>
          <w:ilvl w:val="0"/>
          <w:numId w:val="6"/>
        </w:numPr>
        <w:spacing w:after="115"/>
        <w:ind w:left="567" w:hanging="141"/>
        <w:jc w:val="both"/>
        <w:rPr>
          <w:rFonts w:ascii="Times New Roman" w:hAnsi="Times New Roman" w:cs="Times New Roman"/>
          <w:sz w:val="24"/>
          <w:szCs w:val="24"/>
        </w:rPr>
      </w:pPr>
      <w:r w:rsidRPr="00D64469">
        <w:rPr>
          <w:rFonts w:ascii="Times New Roman" w:hAnsi="Times New Roman" w:cs="Times New Roman"/>
          <w:sz w:val="24"/>
          <w:szCs w:val="24"/>
        </w:rPr>
        <w:t>İlaç ve tıbbi sarf alım ihalelerindeki Teknik şartname gereğince miadının dolmasına 6 ay kalan ürünlerin tedarikçi firmaya bildirilmesi ile (fiyat farkı veya ek bir maliyet talep edilmeden) değişimi sağlanır. HBYS üzerinden “Miat Uzatımı Çıkışı” işlemi ile çıkış yapılarak ürünlerle birlikte hazırlanan</w:t>
      </w:r>
      <w:r>
        <w:rPr>
          <w:rFonts w:ascii="Times New Roman" w:hAnsi="Times New Roman" w:cs="Times New Roman"/>
          <w:sz w:val="24"/>
          <w:szCs w:val="24"/>
        </w:rPr>
        <w:t xml:space="preserve"> tutanak</w:t>
      </w:r>
    </w:p>
    <w:p w14:paraId="1301C0AB" w14:textId="77777777" w:rsidR="00D64469" w:rsidRPr="00D64469" w:rsidRDefault="00D64469" w:rsidP="00D64469">
      <w:pPr>
        <w:pStyle w:val="ListeParagraf"/>
        <w:spacing w:after="115"/>
        <w:ind w:left="567" w:hanging="141"/>
        <w:rPr>
          <w:rFonts w:ascii="Times New Roman" w:hAnsi="Times New Roman" w:cs="Times New Roman"/>
          <w:sz w:val="24"/>
          <w:szCs w:val="24"/>
        </w:rPr>
      </w:pPr>
    </w:p>
    <w:p w14:paraId="2E9453A0" w14:textId="77777777" w:rsidR="00BE015C" w:rsidRDefault="00BE015C" w:rsidP="00265D84">
      <w:pPr>
        <w:spacing w:after="115"/>
        <w:ind w:left="284" w:firstLine="142"/>
        <w:rPr>
          <w:szCs w:val="24"/>
        </w:rPr>
      </w:pPr>
    </w:p>
    <w:p w14:paraId="6D2843DA" w14:textId="77777777" w:rsidR="00BE015C" w:rsidRDefault="00BE015C" w:rsidP="00265D84">
      <w:pPr>
        <w:spacing w:after="115"/>
        <w:ind w:left="284" w:firstLine="142"/>
        <w:rPr>
          <w:szCs w:val="24"/>
        </w:rPr>
      </w:pP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BE015C" w:rsidRPr="004C3D50" w14:paraId="568B9B60" w14:textId="77777777" w:rsidTr="001C60EB">
        <w:trPr>
          <w:trHeight w:hRule="exact" w:val="338"/>
        </w:trPr>
        <w:tc>
          <w:tcPr>
            <w:tcW w:w="7340" w:type="dxa"/>
            <w:vMerge w:val="restart"/>
          </w:tcPr>
          <w:p w14:paraId="218DCDBE" w14:textId="77777777" w:rsidR="00BE015C" w:rsidRPr="004C3D50" w:rsidRDefault="00BE015C" w:rsidP="001C60EB">
            <w:pPr>
              <w:spacing w:before="10" w:after="0" w:line="100" w:lineRule="exact"/>
              <w:ind w:left="0" w:firstLine="0"/>
              <w:jc w:val="left"/>
              <w:rPr>
                <w:color w:val="auto"/>
                <w:szCs w:val="24"/>
                <w:lang w:val="en-US"/>
              </w:rPr>
            </w:pPr>
          </w:p>
          <w:p w14:paraId="581AB981" w14:textId="77777777" w:rsidR="00BE015C" w:rsidRPr="004C3D50" w:rsidRDefault="00BE015C" w:rsidP="001C60EB">
            <w:pPr>
              <w:spacing w:after="0" w:line="200" w:lineRule="exact"/>
              <w:ind w:left="0" w:firstLine="0"/>
              <w:jc w:val="left"/>
              <w:rPr>
                <w:color w:val="auto"/>
                <w:szCs w:val="24"/>
                <w:lang w:val="en-US"/>
              </w:rPr>
            </w:pPr>
            <w:r w:rsidRPr="004C3D50">
              <w:rPr>
                <w:noProof/>
                <w:color w:val="auto"/>
                <w:szCs w:val="24"/>
                <w:lang w:val="en-US"/>
              </w:rPr>
              <w:drawing>
                <wp:anchor distT="0" distB="0" distL="114300" distR="114300" simplePos="0" relativeHeight="251661312" behindDoc="0" locked="0" layoutInCell="1" allowOverlap="1" wp14:anchorId="031421B8" wp14:editId="365E3097">
                  <wp:simplePos x="0" y="0"/>
                  <wp:positionH relativeFrom="column">
                    <wp:posOffset>47625</wp:posOffset>
                  </wp:positionH>
                  <wp:positionV relativeFrom="paragraph">
                    <wp:posOffset>33020</wp:posOffset>
                  </wp:positionV>
                  <wp:extent cx="982345" cy="962025"/>
                  <wp:effectExtent l="0" t="0" r="8255" b="9525"/>
                  <wp:wrapSquare wrapText="bothSides"/>
                  <wp:docPr id="776215230" name="Resim 776215230"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144B6EA5" w14:textId="77777777" w:rsidR="00BE015C" w:rsidRPr="004C3D50" w:rsidRDefault="00BE015C" w:rsidP="00087A15">
            <w:pPr>
              <w:spacing w:after="0" w:line="200" w:lineRule="exact"/>
              <w:ind w:left="0" w:firstLine="0"/>
              <w:jc w:val="center"/>
              <w:rPr>
                <w:color w:val="auto"/>
                <w:szCs w:val="24"/>
                <w:lang w:val="en-US"/>
              </w:rPr>
            </w:pPr>
            <w:r w:rsidRPr="004C3D50">
              <w:rPr>
                <w:rFonts w:eastAsia="Calibri"/>
                <w:b/>
                <w:color w:val="auto"/>
                <w:szCs w:val="24"/>
              </w:rPr>
              <w:t>Alanya Alaaddin Keykubat Üniversitesi</w:t>
            </w:r>
          </w:p>
          <w:p w14:paraId="2CE06F2F" w14:textId="77777777" w:rsidR="00BE015C" w:rsidRPr="004C3D50" w:rsidRDefault="00BE015C" w:rsidP="00087A15">
            <w:pPr>
              <w:tabs>
                <w:tab w:val="center" w:pos="3687"/>
              </w:tabs>
              <w:spacing w:after="0" w:line="240" w:lineRule="auto"/>
              <w:ind w:left="0" w:firstLine="0"/>
              <w:jc w:val="center"/>
              <w:rPr>
                <w:rFonts w:eastAsia="Calibri"/>
                <w:b/>
                <w:color w:val="auto"/>
                <w:szCs w:val="24"/>
              </w:rPr>
            </w:pPr>
            <w:r w:rsidRPr="004C3D50">
              <w:rPr>
                <w:rFonts w:eastAsia="Calibri"/>
                <w:b/>
                <w:color w:val="auto"/>
                <w:szCs w:val="24"/>
              </w:rPr>
              <w:t>Diş Hekimliği Uygulama ve Araştırma Merkezi</w:t>
            </w:r>
          </w:p>
          <w:p w14:paraId="39161D3D" w14:textId="77777777" w:rsidR="00BE015C" w:rsidRPr="004C3D50" w:rsidRDefault="00BE015C" w:rsidP="00087A15">
            <w:pPr>
              <w:spacing w:after="0" w:line="240" w:lineRule="auto"/>
              <w:ind w:left="0" w:right="217" w:firstLine="0"/>
              <w:jc w:val="center"/>
              <w:rPr>
                <w:b/>
                <w:color w:val="auto"/>
                <w:spacing w:val="1"/>
                <w:szCs w:val="24"/>
                <w:lang w:val="en-US"/>
              </w:rPr>
            </w:pPr>
          </w:p>
          <w:p w14:paraId="206C8BB9" w14:textId="657499EA" w:rsidR="00BE015C" w:rsidRPr="004C3D50" w:rsidRDefault="00087A15" w:rsidP="00087A15">
            <w:pPr>
              <w:spacing w:after="0" w:line="240" w:lineRule="auto"/>
              <w:ind w:left="0" w:right="217" w:firstLine="0"/>
              <w:jc w:val="center"/>
              <w:rPr>
                <w:b/>
                <w:bCs/>
                <w:color w:val="auto"/>
                <w:szCs w:val="24"/>
                <w:lang w:val="en-US"/>
              </w:rPr>
            </w:pPr>
            <w:r w:rsidRPr="00BE015C">
              <w:rPr>
                <w:b/>
                <w:szCs w:val="24"/>
              </w:rPr>
              <w:t xml:space="preserve">İlaç </w:t>
            </w:r>
            <w:r>
              <w:rPr>
                <w:b/>
                <w:szCs w:val="24"/>
              </w:rPr>
              <w:t>v</w:t>
            </w:r>
            <w:r w:rsidRPr="00BE015C">
              <w:rPr>
                <w:b/>
                <w:szCs w:val="24"/>
              </w:rPr>
              <w:t xml:space="preserve">e Sarf Malzemelerde Miktar </w:t>
            </w:r>
            <w:r>
              <w:rPr>
                <w:b/>
                <w:szCs w:val="24"/>
              </w:rPr>
              <w:t>v</w:t>
            </w:r>
            <w:r w:rsidRPr="00BE015C">
              <w:rPr>
                <w:b/>
                <w:szCs w:val="24"/>
              </w:rPr>
              <w:t>e Mia</w:t>
            </w:r>
            <w:r w:rsidR="00CC5CD0">
              <w:rPr>
                <w:b/>
                <w:szCs w:val="24"/>
              </w:rPr>
              <w:t>t</w:t>
            </w:r>
            <w:r w:rsidRPr="00BE015C">
              <w:rPr>
                <w:b/>
                <w:szCs w:val="24"/>
              </w:rPr>
              <w:t xml:space="preserve"> Kontrol Talimatı</w:t>
            </w:r>
          </w:p>
        </w:tc>
        <w:tc>
          <w:tcPr>
            <w:tcW w:w="1843" w:type="dxa"/>
          </w:tcPr>
          <w:p w14:paraId="7F38F485" w14:textId="77777777" w:rsidR="00BE015C" w:rsidRPr="004C3D50" w:rsidRDefault="00BE015C" w:rsidP="001C60EB">
            <w:pPr>
              <w:spacing w:before="31" w:after="0" w:line="240" w:lineRule="auto"/>
              <w:ind w:left="102" w:firstLine="0"/>
              <w:jc w:val="left"/>
              <w:rPr>
                <w:color w:val="auto"/>
                <w:sz w:val="22"/>
                <w:lang w:val="en-US"/>
              </w:rPr>
            </w:pPr>
            <w:r w:rsidRPr="004C3D50">
              <w:rPr>
                <w:color w:val="auto"/>
                <w:spacing w:val="-1"/>
                <w:sz w:val="22"/>
                <w:lang w:val="en-US"/>
              </w:rPr>
              <w:t>D</w:t>
            </w:r>
            <w:r w:rsidRPr="004C3D50">
              <w:rPr>
                <w:color w:val="auto"/>
                <w:sz w:val="22"/>
                <w:lang w:val="en-US"/>
              </w:rPr>
              <w:t>o</w:t>
            </w:r>
            <w:r w:rsidRPr="004C3D50">
              <w:rPr>
                <w:color w:val="auto"/>
                <w:spacing w:val="-2"/>
                <w:sz w:val="22"/>
                <w:lang w:val="en-US"/>
              </w:rPr>
              <w:t>k</w:t>
            </w:r>
            <w:r w:rsidRPr="004C3D50">
              <w:rPr>
                <w:color w:val="auto"/>
                <w:spacing w:val="2"/>
                <w:sz w:val="22"/>
                <w:lang w:val="en-US"/>
              </w:rPr>
              <w:t>ü</w:t>
            </w:r>
            <w:r w:rsidRPr="004C3D50">
              <w:rPr>
                <w:color w:val="auto"/>
                <w:spacing w:val="-4"/>
                <w:sz w:val="22"/>
                <w:lang w:val="en-US"/>
              </w:rPr>
              <w:t>m</w:t>
            </w:r>
            <w:r w:rsidRPr="004C3D50">
              <w:rPr>
                <w:color w:val="auto"/>
                <w:sz w:val="22"/>
                <w:lang w:val="en-US"/>
              </w:rPr>
              <w:t>an</w:t>
            </w:r>
            <w:r w:rsidRPr="004C3D50">
              <w:rPr>
                <w:color w:val="auto"/>
                <w:spacing w:val="1"/>
                <w:sz w:val="22"/>
                <w:lang w:val="en-US"/>
              </w:rPr>
              <w:t xml:space="preserve"> </w:t>
            </w:r>
            <w:r w:rsidRPr="004C3D50">
              <w:rPr>
                <w:color w:val="auto"/>
                <w:spacing w:val="-1"/>
                <w:sz w:val="22"/>
                <w:lang w:val="en-US"/>
              </w:rPr>
              <w:t>N</w:t>
            </w:r>
            <w:r w:rsidRPr="004C3D50">
              <w:rPr>
                <w:color w:val="auto"/>
                <w:sz w:val="22"/>
                <w:lang w:val="en-US"/>
              </w:rPr>
              <w:t>o.</w:t>
            </w:r>
          </w:p>
        </w:tc>
        <w:tc>
          <w:tcPr>
            <w:tcW w:w="1292" w:type="dxa"/>
          </w:tcPr>
          <w:p w14:paraId="47099AFC" w14:textId="7AB49C73" w:rsidR="00BE015C" w:rsidRPr="004C3D50" w:rsidRDefault="00BE015C" w:rsidP="001C60EB">
            <w:pPr>
              <w:spacing w:before="31" w:after="0" w:line="240" w:lineRule="auto"/>
              <w:ind w:left="0" w:firstLine="0"/>
              <w:jc w:val="left"/>
              <w:rPr>
                <w:color w:val="auto"/>
                <w:sz w:val="22"/>
                <w:lang w:val="en-US"/>
              </w:rPr>
            </w:pPr>
            <w:r w:rsidRPr="004C3D50">
              <w:rPr>
                <w:color w:val="auto"/>
                <w:sz w:val="22"/>
                <w:lang w:val="en-US"/>
              </w:rPr>
              <w:t xml:space="preserve"> SİY.</w:t>
            </w:r>
            <w:r w:rsidR="00087A15">
              <w:rPr>
                <w:color w:val="auto"/>
                <w:sz w:val="22"/>
                <w:lang w:val="en-US"/>
              </w:rPr>
              <w:t>TL</w:t>
            </w:r>
            <w:r w:rsidRPr="004C3D50">
              <w:rPr>
                <w:color w:val="auto"/>
                <w:sz w:val="22"/>
                <w:lang w:val="en-US"/>
              </w:rPr>
              <w:t>.0</w:t>
            </w:r>
            <w:r w:rsidR="00087A15">
              <w:rPr>
                <w:color w:val="auto"/>
                <w:sz w:val="22"/>
                <w:lang w:val="en-US"/>
              </w:rPr>
              <w:t>3</w:t>
            </w:r>
          </w:p>
        </w:tc>
      </w:tr>
      <w:tr w:rsidR="00BE015C" w:rsidRPr="004C3D50" w14:paraId="795BCE8F" w14:textId="77777777" w:rsidTr="001C60EB">
        <w:trPr>
          <w:trHeight w:hRule="exact" w:val="338"/>
        </w:trPr>
        <w:tc>
          <w:tcPr>
            <w:tcW w:w="7340" w:type="dxa"/>
            <w:vMerge/>
          </w:tcPr>
          <w:p w14:paraId="44D485F2" w14:textId="77777777" w:rsidR="00BE015C" w:rsidRPr="004C3D50" w:rsidRDefault="00BE015C" w:rsidP="001C60EB">
            <w:pPr>
              <w:spacing w:after="0" w:line="240" w:lineRule="auto"/>
              <w:ind w:left="0" w:firstLine="0"/>
              <w:jc w:val="left"/>
              <w:rPr>
                <w:color w:val="auto"/>
                <w:szCs w:val="24"/>
                <w:lang w:val="en-US"/>
              </w:rPr>
            </w:pPr>
          </w:p>
        </w:tc>
        <w:tc>
          <w:tcPr>
            <w:tcW w:w="1843" w:type="dxa"/>
          </w:tcPr>
          <w:p w14:paraId="2823671D" w14:textId="77777777" w:rsidR="00BE015C" w:rsidRPr="004C3D50" w:rsidRDefault="00BE015C" w:rsidP="001C60EB">
            <w:pPr>
              <w:spacing w:before="31" w:after="0" w:line="240" w:lineRule="auto"/>
              <w:ind w:left="102" w:firstLine="0"/>
              <w:jc w:val="left"/>
              <w:rPr>
                <w:color w:val="auto"/>
                <w:sz w:val="22"/>
                <w:lang w:val="en-US"/>
              </w:rPr>
            </w:pPr>
            <w:r w:rsidRPr="004C3D50">
              <w:rPr>
                <w:color w:val="auto"/>
                <w:spacing w:val="-1"/>
                <w:sz w:val="22"/>
                <w:lang w:val="en-US"/>
              </w:rPr>
              <w:t>Y</w:t>
            </w:r>
            <w:r w:rsidRPr="004C3D50">
              <w:rPr>
                <w:color w:val="auto"/>
                <w:sz w:val="22"/>
                <w:lang w:val="en-US"/>
              </w:rPr>
              <w:t>a</w:t>
            </w:r>
            <w:r w:rsidRPr="004C3D50">
              <w:rPr>
                <w:color w:val="auto"/>
                <w:spacing w:val="-2"/>
                <w:sz w:val="22"/>
                <w:lang w:val="en-US"/>
              </w:rPr>
              <w:t>y</w:t>
            </w:r>
            <w:r w:rsidRPr="004C3D50">
              <w:rPr>
                <w:color w:val="auto"/>
                <w:spacing w:val="1"/>
                <w:sz w:val="22"/>
                <w:lang w:val="en-US"/>
              </w:rPr>
              <w:t>ı</w:t>
            </w:r>
            <w:r w:rsidRPr="004C3D50">
              <w:rPr>
                <w:color w:val="auto"/>
                <w:sz w:val="22"/>
                <w:lang w:val="en-US"/>
              </w:rPr>
              <w:t xml:space="preserve">n </w:t>
            </w:r>
            <w:r w:rsidRPr="004C3D50">
              <w:rPr>
                <w:color w:val="auto"/>
                <w:spacing w:val="1"/>
                <w:sz w:val="22"/>
                <w:lang w:val="en-US"/>
              </w:rPr>
              <w:t>T</w:t>
            </w:r>
            <w:r w:rsidRPr="004C3D50">
              <w:rPr>
                <w:color w:val="auto"/>
                <w:sz w:val="22"/>
                <w:lang w:val="en-US"/>
              </w:rPr>
              <w:t>a</w:t>
            </w:r>
            <w:r w:rsidRPr="004C3D50">
              <w:rPr>
                <w:color w:val="auto"/>
                <w:spacing w:val="-1"/>
                <w:sz w:val="22"/>
                <w:lang w:val="en-US"/>
              </w:rPr>
              <w:t>r</w:t>
            </w:r>
            <w:r w:rsidRPr="004C3D50">
              <w:rPr>
                <w:color w:val="auto"/>
                <w:spacing w:val="1"/>
                <w:sz w:val="22"/>
                <w:lang w:val="en-US"/>
              </w:rPr>
              <w:t>i</w:t>
            </w:r>
            <w:r w:rsidRPr="004C3D50">
              <w:rPr>
                <w:color w:val="auto"/>
                <w:spacing w:val="-2"/>
                <w:sz w:val="22"/>
                <w:lang w:val="en-US"/>
              </w:rPr>
              <w:t>h</w:t>
            </w:r>
            <w:r w:rsidRPr="004C3D50">
              <w:rPr>
                <w:color w:val="auto"/>
                <w:sz w:val="22"/>
                <w:lang w:val="en-US"/>
              </w:rPr>
              <w:t>i</w:t>
            </w:r>
          </w:p>
        </w:tc>
        <w:tc>
          <w:tcPr>
            <w:tcW w:w="1292" w:type="dxa"/>
          </w:tcPr>
          <w:p w14:paraId="713780F9" w14:textId="4B973936" w:rsidR="00BE015C" w:rsidRPr="004C3D50" w:rsidRDefault="00BE015C" w:rsidP="001C60EB">
            <w:pPr>
              <w:spacing w:before="31" w:after="0" w:line="240" w:lineRule="auto"/>
              <w:ind w:left="0" w:firstLine="0"/>
              <w:jc w:val="left"/>
              <w:rPr>
                <w:color w:val="auto"/>
                <w:sz w:val="22"/>
                <w:lang w:val="en-US"/>
              </w:rPr>
            </w:pPr>
            <w:r w:rsidRPr="004C3D50">
              <w:rPr>
                <w:color w:val="auto"/>
                <w:sz w:val="22"/>
                <w:lang w:val="en-US"/>
              </w:rPr>
              <w:t xml:space="preserve"> 03.0</w:t>
            </w:r>
            <w:r w:rsidR="00225A75">
              <w:rPr>
                <w:color w:val="auto"/>
                <w:sz w:val="22"/>
                <w:lang w:val="en-US"/>
              </w:rPr>
              <w:t>5</w:t>
            </w:r>
            <w:r w:rsidRPr="004C3D50">
              <w:rPr>
                <w:color w:val="auto"/>
                <w:sz w:val="22"/>
                <w:lang w:val="en-US"/>
              </w:rPr>
              <w:t>.2023</w:t>
            </w:r>
          </w:p>
        </w:tc>
      </w:tr>
      <w:tr w:rsidR="00BE015C" w:rsidRPr="004C3D50" w14:paraId="1ED8D36F" w14:textId="77777777" w:rsidTr="001C60EB">
        <w:trPr>
          <w:trHeight w:hRule="exact" w:val="336"/>
        </w:trPr>
        <w:tc>
          <w:tcPr>
            <w:tcW w:w="7340" w:type="dxa"/>
            <w:vMerge/>
          </w:tcPr>
          <w:p w14:paraId="521038C3" w14:textId="77777777" w:rsidR="00BE015C" w:rsidRPr="004C3D50" w:rsidRDefault="00BE015C" w:rsidP="001C60EB">
            <w:pPr>
              <w:spacing w:after="0" w:line="240" w:lineRule="auto"/>
              <w:ind w:left="0" w:firstLine="0"/>
              <w:jc w:val="left"/>
              <w:rPr>
                <w:color w:val="auto"/>
                <w:szCs w:val="24"/>
                <w:lang w:val="en-US"/>
              </w:rPr>
            </w:pPr>
          </w:p>
        </w:tc>
        <w:tc>
          <w:tcPr>
            <w:tcW w:w="1843" w:type="dxa"/>
          </w:tcPr>
          <w:p w14:paraId="535E7192" w14:textId="77777777" w:rsidR="00BE015C" w:rsidRPr="004C3D50" w:rsidRDefault="00BE015C" w:rsidP="001C60EB">
            <w:pPr>
              <w:spacing w:before="29" w:after="0" w:line="240" w:lineRule="auto"/>
              <w:ind w:left="102" w:firstLine="0"/>
              <w:jc w:val="left"/>
              <w:rPr>
                <w:color w:val="auto"/>
                <w:sz w:val="22"/>
                <w:lang w:val="en-US"/>
              </w:rPr>
            </w:pPr>
            <w:r w:rsidRPr="004C3D50">
              <w:rPr>
                <w:color w:val="auto"/>
                <w:spacing w:val="-1"/>
                <w:sz w:val="22"/>
                <w:lang w:val="en-US"/>
              </w:rPr>
              <w:t>R</w:t>
            </w:r>
            <w:r w:rsidRPr="004C3D50">
              <w:rPr>
                <w:color w:val="auto"/>
                <w:sz w:val="22"/>
                <w:lang w:val="en-US"/>
              </w:rPr>
              <w:t>e</w:t>
            </w:r>
            <w:r w:rsidRPr="004C3D50">
              <w:rPr>
                <w:color w:val="auto"/>
                <w:spacing w:val="-2"/>
                <w:sz w:val="22"/>
                <w:lang w:val="en-US"/>
              </w:rPr>
              <w:t>v</w:t>
            </w:r>
            <w:r w:rsidRPr="004C3D50">
              <w:rPr>
                <w:color w:val="auto"/>
                <w:spacing w:val="1"/>
                <w:sz w:val="22"/>
                <w:lang w:val="en-US"/>
              </w:rPr>
              <w:t>i</w:t>
            </w:r>
            <w:r w:rsidRPr="004C3D50">
              <w:rPr>
                <w:color w:val="auto"/>
                <w:sz w:val="22"/>
                <w:lang w:val="en-US"/>
              </w:rPr>
              <w:t>z</w:t>
            </w:r>
            <w:r w:rsidRPr="004C3D50">
              <w:rPr>
                <w:color w:val="auto"/>
                <w:spacing w:val="-2"/>
                <w:sz w:val="22"/>
                <w:lang w:val="en-US"/>
              </w:rPr>
              <w:t>y</w:t>
            </w:r>
            <w:r w:rsidRPr="004C3D50">
              <w:rPr>
                <w:color w:val="auto"/>
                <w:sz w:val="22"/>
                <w:lang w:val="en-US"/>
              </w:rPr>
              <w:t xml:space="preserve">on </w:t>
            </w:r>
            <w:r w:rsidRPr="004C3D50">
              <w:rPr>
                <w:color w:val="auto"/>
                <w:spacing w:val="1"/>
                <w:sz w:val="22"/>
                <w:lang w:val="en-US"/>
              </w:rPr>
              <w:t>T</w:t>
            </w:r>
            <w:r w:rsidRPr="004C3D50">
              <w:rPr>
                <w:color w:val="auto"/>
                <w:sz w:val="22"/>
                <w:lang w:val="en-US"/>
              </w:rPr>
              <w:t>a</w:t>
            </w:r>
            <w:r w:rsidRPr="004C3D50">
              <w:rPr>
                <w:color w:val="auto"/>
                <w:spacing w:val="-1"/>
                <w:sz w:val="22"/>
                <w:lang w:val="en-US"/>
              </w:rPr>
              <w:t>r</w:t>
            </w:r>
            <w:r w:rsidRPr="004C3D50">
              <w:rPr>
                <w:color w:val="auto"/>
                <w:spacing w:val="1"/>
                <w:sz w:val="22"/>
                <w:lang w:val="en-US"/>
              </w:rPr>
              <w:t>i</w:t>
            </w:r>
            <w:r w:rsidRPr="004C3D50">
              <w:rPr>
                <w:color w:val="auto"/>
                <w:sz w:val="22"/>
                <w:lang w:val="en-US"/>
              </w:rPr>
              <w:t>hi</w:t>
            </w:r>
          </w:p>
        </w:tc>
        <w:tc>
          <w:tcPr>
            <w:tcW w:w="1292" w:type="dxa"/>
          </w:tcPr>
          <w:p w14:paraId="6937DAFC" w14:textId="77777777" w:rsidR="00BE015C" w:rsidRPr="004C3D50" w:rsidRDefault="00BE015C" w:rsidP="001C60EB">
            <w:pPr>
              <w:spacing w:before="29" w:after="0" w:line="240" w:lineRule="auto"/>
              <w:ind w:left="0" w:firstLine="0"/>
              <w:jc w:val="left"/>
              <w:rPr>
                <w:color w:val="auto"/>
                <w:sz w:val="22"/>
                <w:lang w:val="en-US"/>
              </w:rPr>
            </w:pPr>
          </w:p>
        </w:tc>
      </w:tr>
      <w:tr w:rsidR="00BE015C" w:rsidRPr="004C3D50" w14:paraId="5696C151" w14:textId="77777777" w:rsidTr="001C60EB">
        <w:trPr>
          <w:trHeight w:hRule="exact" w:val="339"/>
        </w:trPr>
        <w:tc>
          <w:tcPr>
            <w:tcW w:w="7340" w:type="dxa"/>
            <w:vMerge/>
          </w:tcPr>
          <w:p w14:paraId="7F3413A6" w14:textId="77777777" w:rsidR="00BE015C" w:rsidRPr="004C3D50" w:rsidRDefault="00BE015C" w:rsidP="001C60EB">
            <w:pPr>
              <w:spacing w:after="0" w:line="240" w:lineRule="auto"/>
              <w:ind w:left="0" w:firstLine="0"/>
              <w:jc w:val="left"/>
              <w:rPr>
                <w:color w:val="auto"/>
                <w:szCs w:val="24"/>
                <w:lang w:val="en-US"/>
              </w:rPr>
            </w:pPr>
          </w:p>
        </w:tc>
        <w:tc>
          <w:tcPr>
            <w:tcW w:w="1843" w:type="dxa"/>
          </w:tcPr>
          <w:p w14:paraId="0BE2CEB4" w14:textId="77777777" w:rsidR="00BE015C" w:rsidRPr="004C3D50" w:rsidRDefault="00BE015C" w:rsidP="001C60EB">
            <w:pPr>
              <w:spacing w:before="31" w:after="0" w:line="240" w:lineRule="auto"/>
              <w:ind w:left="102" w:firstLine="0"/>
              <w:jc w:val="left"/>
              <w:rPr>
                <w:color w:val="auto"/>
                <w:sz w:val="22"/>
                <w:lang w:val="en-US"/>
              </w:rPr>
            </w:pPr>
            <w:r w:rsidRPr="004C3D50">
              <w:rPr>
                <w:color w:val="auto"/>
                <w:spacing w:val="-1"/>
                <w:sz w:val="22"/>
                <w:lang w:val="en-US"/>
              </w:rPr>
              <w:t>R</w:t>
            </w:r>
            <w:r w:rsidRPr="004C3D50">
              <w:rPr>
                <w:color w:val="auto"/>
                <w:sz w:val="22"/>
                <w:lang w:val="en-US"/>
              </w:rPr>
              <w:t>e</w:t>
            </w:r>
            <w:r w:rsidRPr="004C3D50">
              <w:rPr>
                <w:color w:val="auto"/>
                <w:spacing w:val="-2"/>
                <w:sz w:val="22"/>
                <w:lang w:val="en-US"/>
              </w:rPr>
              <w:t>v</w:t>
            </w:r>
            <w:r w:rsidRPr="004C3D50">
              <w:rPr>
                <w:color w:val="auto"/>
                <w:spacing w:val="1"/>
                <w:sz w:val="22"/>
                <w:lang w:val="en-US"/>
              </w:rPr>
              <w:t>i</w:t>
            </w:r>
            <w:r w:rsidRPr="004C3D50">
              <w:rPr>
                <w:color w:val="auto"/>
                <w:sz w:val="22"/>
                <w:lang w:val="en-US"/>
              </w:rPr>
              <w:t>z</w:t>
            </w:r>
            <w:r w:rsidRPr="004C3D50">
              <w:rPr>
                <w:color w:val="auto"/>
                <w:spacing w:val="-2"/>
                <w:sz w:val="22"/>
                <w:lang w:val="en-US"/>
              </w:rPr>
              <w:t>y</w:t>
            </w:r>
            <w:r w:rsidRPr="004C3D50">
              <w:rPr>
                <w:color w:val="auto"/>
                <w:sz w:val="22"/>
                <w:lang w:val="en-US"/>
              </w:rPr>
              <w:t xml:space="preserve">on </w:t>
            </w:r>
            <w:r w:rsidRPr="004C3D50">
              <w:rPr>
                <w:color w:val="auto"/>
                <w:spacing w:val="-1"/>
                <w:sz w:val="22"/>
                <w:lang w:val="en-US"/>
              </w:rPr>
              <w:t>N</w:t>
            </w:r>
            <w:r w:rsidRPr="004C3D50">
              <w:rPr>
                <w:color w:val="auto"/>
                <w:sz w:val="22"/>
                <w:lang w:val="en-US"/>
              </w:rPr>
              <w:t>o.</w:t>
            </w:r>
          </w:p>
        </w:tc>
        <w:tc>
          <w:tcPr>
            <w:tcW w:w="1292" w:type="dxa"/>
          </w:tcPr>
          <w:p w14:paraId="17208B90" w14:textId="77777777" w:rsidR="00BE015C" w:rsidRPr="004C3D50" w:rsidRDefault="00BE015C" w:rsidP="001C60EB">
            <w:pPr>
              <w:spacing w:before="31" w:after="0" w:line="240" w:lineRule="auto"/>
              <w:ind w:left="102" w:firstLine="0"/>
              <w:jc w:val="left"/>
              <w:rPr>
                <w:color w:val="auto"/>
                <w:sz w:val="22"/>
                <w:lang w:val="en-US"/>
              </w:rPr>
            </w:pPr>
            <w:r w:rsidRPr="004C3D50">
              <w:rPr>
                <w:color w:val="auto"/>
                <w:sz w:val="22"/>
                <w:lang w:val="en-US"/>
              </w:rPr>
              <w:t>00</w:t>
            </w:r>
          </w:p>
        </w:tc>
      </w:tr>
      <w:tr w:rsidR="00BE015C" w:rsidRPr="004C3D50" w14:paraId="45CA75C0" w14:textId="77777777" w:rsidTr="001C60EB">
        <w:trPr>
          <w:trHeight w:hRule="exact" w:val="384"/>
        </w:trPr>
        <w:tc>
          <w:tcPr>
            <w:tcW w:w="7340" w:type="dxa"/>
            <w:vMerge/>
          </w:tcPr>
          <w:p w14:paraId="70832E7E" w14:textId="77777777" w:rsidR="00BE015C" w:rsidRPr="004C3D50" w:rsidRDefault="00BE015C" w:rsidP="001C60EB">
            <w:pPr>
              <w:spacing w:after="0" w:line="240" w:lineRule="auto"/>
              <w:ind w:left="0" w:firstLine="0"/>
              <w:jc w:val="left"/>
              <w:rPr>
                <w:color w:val="auto"/>
                <w:szCs w:val="24"/>
                <w:lang w:val="en-US"/>
              </w:rPr>
            </w:pPr>
          </w:p>
        </w:tc>
        <w:tc>
          <w:tcPr>
            <w:tcW w:w="1843" w:type="dxa"/>
          </w:tcPr>
          <w:p w14:paraId="739B9174" w14:textId="77777777" w:rsidR="00BE015C" w:rsidRPr="004C3D50" w:rsidRDefault="00BE015C" w:rsidP="001C60EB">
            <w:pPr>
              <w:spacing w:before="53" w:after="0" w:line="240" w:lineRule="auto"/>
              <w:ind w:left="102" w:firstLine="0"/>
              <w:jc w:val="left"/>
              <w:rPr>
                <w:color w:val="auto"/>
                <w:sz w:val="22"/>
                <w:lang w:val="en-US"/>
              </w:rPr>
            </w:pPr>
            <w:r w:rsidRPr="004C3D50">
              <w:rPr>
                <w:color w:val="auto"/>
                <w:sz w:val="22"/>
                <w:lang w:val="en-US"/>
              </w:rPr>
              <w:t>Sa</w:t>
            </w:r>
            <w:r w:rsidRPr="004C3D50">
              <w:rPr>
                <w:color w:val="auto"/>
                <w:spacing w:val="-2"/>
                <w:sz w:val="22"/>
                <w:lang w:val="en-US"/>
              </w:rPr>
              <w:t>y</w:t>
            </w:r>
            <w:r w:rsidRPr="004C3D50">
              <w:rPr>
                <w:color w:val="auto"/>
                <w:spacing w:val="1"/>
                <w:sz w:val="22"/>
                <w:lang w:val="en-US"/>
              </w:rPr>
              <w:t>f</w:t>
            </w:r>
            <w:r w:rsidRPr="004C3D50">
              <w:rPr>
                <w:color w:val="auto"/>
                <w:sz w:val="22"/>
                <w:lang w:val="en-US"/>
              </w:rPr>
              <w:t>a</w:t>
            </w:r>
            <w:r w:rsidRPr="004C3D50">
              <w:rPr>
                <w:color w:val="auto"/>
                <w:spacing w:val="1"/>
                <w:sz w:val="22"/>
                <w:lang w:val="en-US"/>
              </w:rPr>
              <w:t xml:space="preserve"> </w:t>
            </w:r>
            <w:r w:rsidRPr="004C3D50">
              <w:rPr>
                <w:color w:val="auto"/>
                <w:spacing w:val="-1"/>
                <w:sz w:val="22"/>
                <w:lang w:val="en-US"/>
              </w:rPr>
              <w:t>N</w:t>
            </w:r>
            <w:r w:rsidRPr="004C3D50">
              <w:rPr>
                <w:color w:val="auto"/>
                <w:sz w:val="22"/>
                <w:lang w:val="en-US"/>
              </w:rPr>
              <w:t>o.</w:t>
            </w:r>
          </w:p>
        </w:tc>
        <w:tc>
          <w:tcPr>
            <w:tcW w:w="1292" w:type="dxa"/>
          </w:tcPr>
          <w:p w14:paraId="32280EBF" w14:textId="509E7F96" w:rsidR="00BE015C" w:rsidRPr="004C3D50" w:rsidRDefault="00087A15" w:rsidP="001C60EB">
            <w:pPr>
              <w:spacing w:before="53" w:after="0" w:line="240" w:lineRule="auto"/>
              <w:ind w:left="0" w:firstLine="0"/>
              <w:jc w:val="left"/>
              <w:rPr>
                <w:color w:val="auto"/>
                <w:sz w:val="22"/>
                <w:lang w:val="en-US"/>
              </w:rPr>
            </w:pPr>
            <w:r w:rsidRPr="00087A15">
              <w:rPr>
                <w:color w:val="auto"/>
                <w:sz w:val="22"/>
                <w:lang w:val="en-US"/>
              </w:rPr>
              <w:t xml:space="preserve"> 2/2</w:t>
            </w:r>
          </w:p>
        </w:tc>
      </w:tr>
    </w:tbl>
    <w:p w14:paraId="229A8838" w14:textId="593DE839" w:rsidR="00265D84" w:rsidRPr="00D64469" w:rsidRDefault="004D73F7" w:rsidP="00810810">
      <w:pPr>
        <w:spacing w:after="115"/>
        <w:ind w:left="284" w:firstLine="0"/>
        <w:rPr>
          <w:szCs w:val="24"/>
        </w:rPr>
      </w:pPr>
      <w:r w:rsidRPr="00BE015C">
        <w:rPr>
          <w:szCs w:val="24"/>
        </w:rPr>
        <w:t>ilgili firmaya gönderilir. Firma tarafından gelen uzun mia</w:t>
      </w:r>
      <w:r w:rsidR="00CC5CD0">
        <w:rPr>
          <w:szCs w:val="24"/>
        </w:rPr>
        <w:t>t</w:t>
      </w:r>
      <w:r w:rsidR="00D756DF">
        <w:rPr>
          <w:szCs w:val="24"/>
        </w:rPr>
        <w:t>lı</w:t>
      </w:r>
      <w:r w:rsidRPr="00BE015C">
        <w:rPr>
          <w:szCs w:val="24"/>
        </w:rPr>
        <w:t xml:space="preserve"> ürünlerin HBYS üzerinden “Mia</w:t>
      </w:r>
      <w:r w:rsidR="00D756DF">
        <w:rPr>
          <w:szCs w:val="24"/>
        </w:rPr>
        <w:t>t</w:t>
      </w:r>
      <w:r w:rsidRPr="00BE015C">
        <w:rPr>
          <w:szCs w:val="24"/>
        </w:rPr>
        <w:t xml:space="preserve"> Uzatımı Giriş” işlemi ile girişleri yapılır. </w:t>
      </w:r>
      <w:r w:rsidRPr="00D64469">
        <w:rPr>
          <w:szCs w:val="24"/>
        </w:rPr>
        <w:t>Birimlerde veya acil çantalarında bulunan malzemelerin mia</w:t>
      </w:r>
      <w:r w:rsidR="00096EAF" w:rsidRPr="00D64469">
        <w:rPr>
          <w:szCs w:val="24"/>
        </w:rPr>
        <w:t>t</w:t>
      </w:r>
      <w:r w:rsidRPr="00D64469">
        <w:rPr>
          <w:szCs w:val="24"/>
        </w:rPr>
        <w:t xml:space="preserve"> takibi ve miadının dolmasına 6 ay kalan ürünlerin Taşınır Birimine yazılı olarak zamanında bildirilmesi hemşirelerin veya ilgili birim yöneticilerinin sorumluluğundadır. Miadı geçen malzemelerle ilgili işlemlerde Taşınır Mal Yönetmeliği hükümleri uygulanır. İmha işlemi İlaç ve Tıbbi Sarf Malzeme İmha Talimatına göre gerçekleştirilir. </w:t>
      </w:r>
    </w:p>
    <w:p w14:paraId="4BA96513" w14:textId="3D2FBEF7" w:rsidR="00265D84" w:rsidRPr="00D64469" w:rsidRDefault="004D73F7" w:rsidP="00D64469">
      <w:pPr>
        <w:pStyle w:val="ListeParagraf"/>
        <w:numPr>
          <w:ilvl w:val="0"/>
          <w:numId w:val="7"/>
        </w:numPr>
        <w:spacing w:after="115"/>
        <w:ind w:left="426" w:firstLine="0"/>
        <w:rPr>
          <w:rFonts w:ascii="Times New Roman" w:hAnsi="Times New Roman" w:cs="Times New Roman"/>
          <w:sz w:val="24"/>
          <w:szCs w:val="24"/>
        </w:rPr>
      </w:pPr>
      <w:r w:rsidRPr="00D64469">
        <w:rPr>
          <w:rFonts w:ascii="Times New Roman" w:hAnsi="Times New Roman" w:cs="Times New Roman"/>
          <w:sz w:val="24"/>
          <w:szCs w:val="24"/>
        </w:rPr>
        <w:t>Birim sorumluları tarafından ayda bir birimlerde bulunan acil çantaları dahil tüm malzemelerin mia</w:t>
      </w:r>
      <w:r w:rsidR="00D756DF" w:rsidRPr="00D64469">
        <w:rPr>
          <w:rFonts w:ascii="Times New Roman" w:hAnsi="Times New Roman" w:cs="Times New Roman"/>
          <w:sz w:val="24"/>
          <w:szCs w:val="24"/>
        </w:rPr>
        <w:t>t</w:t>
      </w:r>
      <w:r w:rsidRPr="00D64469">
        <w:rPr>
          <w:rFonts w:ascii="Times New Roman" w:hAnsi="Times New Roman" w:cs="Times New Roman"/>
          <w:sz w:val="24"/>
          <w:szCs w:val="24"/>
        </w:rPr>
        <w:t xml:space="preserve"> takibi yapıl</w:t>
      </w:r>
      <w:r w:rsidR="00265D84" w:rsidRPr="00D64469">
        <w:rPr>
          <w:rFonts w:ascii="Times New Roman" w:hAnsi="Times New Roman" w:cs="Times New Roman"/>
          <w:sz w:val="24"/>
          <w:szCs w:val="24"/>
        </w:rPr>
        <w:t>maktadır.</w:t>
      </w:r>
    </w:p>
    <w:p w14:paraId="5F948670" w14:textId="6B5D9C7E" w:rsidR="00265D84" w:rsidRPr="00D64469" w:rsidRDefault="004D73F7" w:rsidP="00D64469">
      <w:pPr>
        <w:pStyle w:val="ListeParagraf"/>
        <w:numPr>
          <w:ilvl w:val="0"/>
          <w:numId w:val="7"/>
        </w:numPr>
        <w:spacing w:after="115"/>
        <w:ind w:left="426" w:firstLine="0"/>
        <w:rPr>
          <w:rFonts w:ascii="Times New Roman" w:hAnsi="Times New Roman" w:cs="Times New Roman"/>
          <w:sz w:val="24"/>
          <w:szCs w:val="24"/>
        </w:rPr>
      </w:pPr>
      <w:r w:rsidRPr="00D64469">
        <w:rPr>
          <w:rFonts w:ascii="Times New Roman" w:hAnsi="Times New Roman" w:cs="Times New Roman"/>
          <w:sz w:val="24"/>
          <w:szCs w:val="24"/>
        </w:rPr>
        <w:t>Taşınır Birimi Sorumluları, birim sorumlusu ile belirli periyotlarda (üç ay) birimlerin depolarında bulunan ilaçları kontrol etmeli, uygunsuz durumları tutanakla üst yönetime bildirmelidir.</w:t>
      </w:r>
    </w:p>
    <w:p w14:paraId="4B3D34F8" w14:textId="7C0DC1C3" w:rsidR="00741DF4" w:rsidRPr="00D64469" w:rsidRDefault="004D73F7" w:rsidP="00D64469">
      <w:pPr>
        <w:pStyle w:val="ListeParagraf"/>
        <w:numPr>
          <w:ilvl w:val="0"/>
          <w:numId w:val="7"/>
        </w:numPr>
        <w:spacing w:after="115"/>
        <w:ind w:left="426" w:firstLine="0"/>
        <w:rPr>
          <w:rFonts w:ascii="Times New Roman" w:hAnsi="Times New Roman" w:cs="Times New Roman"/>
          <w:sz w:val="24"/>
          <w:szCs w:val="24"/>
        </w:rPr>
      </w:pPr>
      <w:r w:rsidRPr="00D64469">
        <w:rPr>
          <w:rFonts w:ascii="Times New Roman" w:hAnsi="Times New Roman" w:cs="Times New Roman"/>
          <w:sz w:val="24"/>
          <w:szCs w:val="24"/>
        </w:rPr>
        <w:t>Taşınır Deposundan birimlere hasta bazlı yapılan çıkışlarda mia</w:t>
      </w:r>
      <w:r w:rsidR="00096EAF" w:rsidRPr="00D64469">
        <w:rPr>
          <w:rFonts w:ascii="Times New Roman" w:hAnsi="Times New Roman" w:cs="Times New Roman"/>
          <w:sz w:val="24"/>
          <w:szCs w:val="24"/>
        </w:rPr>
        <w:t>t</w:t>
      </w:r>
      <w:r w:rsidRPr="00D64469">
        <w:rPr>
          <w:rFonts w:ascii="Times New Roman" w:hAnsi="Times New Roman" w:cs="Times New Roman"/>
          <w:sz w:val="24"/>
          <w:szCs w:val="24"/>
        </w:rPr>
        <w:t xml:space="preserve"> kontrolü hazırlama esnasında da yapılmalı</w:t>
      </w:r>
      <w:r w:rsidR="00D756DF" w:rsidRPr="00D64469">
        <w:rPr>
          <w:rFonts w:ascii="Times New Roman" w:hAnsi="Times New Roman" w:cs="Times New Roman"/>
          <w:sz w:val="24"/>
          <w:szCs w:val="24"/>
        </w:rPr>
        <w:t xml:space="preserve">dır. </w:t>
      </w:r>
    </w:p>
    <w:p w14:paraId="486A3518" w14:textId="731A8EA7" w:rsidR="00096EAF" w:rsidRPr="00D64469" w:rsidRDefault="00096EAF" w:rsidP="00D64469">
      <w:pPr>
        <w:pStyle w:val="ListeParagraf"/>
        <w:numPr>
          <w:ilvl w:val="0"/>
          <w:numId w:val="7"/>
        </w:numPr>
        <w:spacing w:after="115"/>
        <w:ind w:left="426" w:firstLine="0"/>
        <w:rPr>
          <w:rFonts w:ascii="Times New Roman" w:hAnsi="Times New Roman" w:cs="Times New Roman"/>
          <w:sz w:val="24"/>
          <w:szCs w:val="24"/>
        </w:rPr>
      </w:pPr>
      <w:r w:rsidRPr="00D64469">
        <w:rPr>
          <w:rFonts w:ascii="Times New Roman" w:hAnsi="Times New Roman" w:cs="Times New Roman"/>
          <w:sz w:val="24"/>
          <w:szCs w:val="24"/>
        </w:rPr>
        <w:t>Klinik ve depoda bulunan ilaç ve tıbbi sarf malzemenin manuel orak ayda iki kez miktar  sayımı, ayda bir kez miat kontrolü manuel olarak yapılmalıdır.</w:t>
      </w:r>
    </w:p>
    <w:p w14:paraId="1C4917B5" w14:textId="6B788674" w:rsidR="00096EAF" w:rsidRPr="00D64469" w:rsidRDefault="00096EAF" w:rsidP="00D64469">
      <w:pPr>
        <w:pStyle w:val="ListeParagraf"/>
        <w:numPr>
          <w:ilvl w:val="0"/>
          <w:numId w:val="7"/>
        </w:numPr>
        <w:spacing w:after="115"/>
        <w:ind w:left="426" w:firstLine="0"/>
        <w:rPr>
          <w:rFonts w:ascii="Times New Roman" w:hAnsi="Times New Roman" w:cs="Times New Roman"/>
          <w:sz w:val="24"/>
          <w:szCs w:val="24"/>
        </w:rPr>
      </w:pPr>
      <w:r w:rsidRPr="00D64469">
        <w:rPr>
          <w:rFonts w:ascii="Times New Roman" w:hAnsi="Times New Roman" w:cs="Times New Roman"/>
          <w:sz w:val="24"/>
          <w:szCs w:val="24"/>
        </w:rPr>
        <w:t>Bozulan veya miadı geçen ilaçlar/tıbbi sarf malzemeler imha edilene kadar depoda imha edilecek ürünler için ayrılmış rafta muhafaza edilmelidir.</w:t>
      </w:r>
    </w:p>
    <w:p w14:paraId="7A84E89F" w14:textId="77777777" w:rsidR="00D64469" w:rsidRPr="00D64469" w:rsidRDefault="00D64469" w:rsidP="00D64469">
      <w:pPr>
        <w:pStyle w:val="ListeParagraf"/>
        <w:numPr>
          <w:ilvl w:val="0"/>
          <w:numId w:val="7"/>
        </w:numPr>
        <w:spacing w:after="35" w:line="303" w:lineRule="auto"/>
        <w:ind w:left="426" w:right="-709" w:firstLine="0"/>
        <w:rPr>
          <w:rFonts w:ascii="Times New Roman" w:hAnsi="Times New Roman" w:cs="Times New Roman"/>
          <w:sz w:val="24"/>
          <w:szCs w:val="24"/>
        </w:rPr>
      </w:pPr>
      <w:r w:rsidRPr="00D64469">
        <w:rPr>
          <w:rFonts w:ascii="Times New Roman" w:hAnsi="Times New Roman" w:cs="Times New Roman"/>
          <w:sz w:val="24"/>
          <w:szCs w:val="24"/>
        </w:rPr>
        <w:t xml:space="preserve">İlaç depolarına yetkilendirilmiş personel haricinde kişilerin erişimi sınırlandırılmıştır. </w:t>
      </w:r>
    </w:p>
    <w:p w14:paraId="76F4C7A8" w14:textId="77777777" w:rsidR="00BE015C" w:rsidRPr="00BE015C" w:rsidRDefault="00BE015C" w:rsidP="00BE015C">
      <w:pPr>
        <w:spacing w:after="115"/>
        <w:ind w:left="284" w:firstLine="0"/>
        <w:jc w:val="left"/>
        <w:rPr>
          <w:szCs w:val="24"/>
        </w:rPr>
      </w:pPr>
    </w:p>
    <w:p w14:paraId="41ABE793" w14:textId="7ADFC87E" w:rsidR="00BE015C" w:rsidRPr="00810810" w:rsidRDefault="004D73F7" w:rsidP="00BE015C">
      <w:pPr>
        <w:pStyle w:val="ListeParagraf"/>
        <w:numPr>
          <w:ilvl w:val="0"/>
          <w:numId w:val="4"/>
        </w:numPr>
        <w:spacing w:after="115"/>
        <w:rPr>
          <w:rFonts w:ascii="Times New Roman" w:hAnsi="Times New Roman" w:cs="Times New Roman"/>
          <w:b/>
          <w:bCs/>
          <w:sz w:val="24"/>
          <w:szCs w:val="24"/>
        </w:rPr>
      </w:pPr>
      <w:r w:rsidRPr="00810810">
        <w:rPr>
          <w:rFonts w:ascii="Times New Roman" w:hAnsi="Times New Roman" w:cs="Times New Roman"/>
          <w:b/>
          <w:bCs/>
          <w:sz w:val="24"/>
          <w:szCs w:val="24"/>
        </w:rPr>
        <w:t xml:space="preserve">İLGİLİ DOKÜMANLAR </w:t>
      </w:r>
    </w:p>
    <w:p w14:paraId="7F550838" w14:textId="65F9F7FF" w:rsidR="004C3D50" w:rsidRDefault="004D73F7" w:rsidP="00BE015C">
      <w:pPr>
        <w:pStyle w:val="ListeParagraf"/>
        <w:spacing w:after="115"/>
        <w:ind w:left="644"/>
        <w:rPr>
          <w:rFonts w:ascii="Times New Roman" w:hAnsi="Times New Roman" w:cs="Times New Roman"/>
          <w:sz w:val="24"/>
          <w:szCs w:val="24"/>
        </w:rPr>
      </w:pPr>
      <w:r w:rsidRPr="00BE015C">
        <w:rPr>
          <w:rFonts w:ascii="Times New Roman" w:hAnsi="Times New Roman" w:cs="Times New Roman"/>
          <w:sz w:val="24"/>
          <w:szCs w:val="24"/>
        </w:rPr>
        <w:t>Taşınır Mal Yönetmeliği</w:t>
      </w:r>
    </w:p>
    <w:p w14:paraId="0CE21783" w14:textId="6143020D" w:rsidR="00810810" w:rsidRDefault="00810810" w:rsidP="00BE015C">
      <w:pPr>
        <w:pStyle w:val="ListeParagraf"/>
        <w:spacing w:after="115"/>
        <w:ind w:left="644"/>
        <w:rPr>
          <w:rFonts w:ascii="Times New Roman" w:hAnsi="Times New Roman" w:cs="Times New Roman"/>
          <w:sz w:val="24"/>
          <w:szCs w:val="24"/>
        </w:rPr>
      </w:pPr>
      <w:r>
        <w:rPr>
          <w:rFonts w:ascii="Times New Roman" w:hAnsi="Times New Roman" w:cs="Times New Roman"/>
          <w:sz w:val="24"/>
          <w:szCs w:val="24"/>
        </w:rPr>
        <w:t>Miktar ve Miad Takip Formu</w:t>
      </w:r>
    </w:p>
    <w:p w14:paraId="00BBA5D3" w14:textId="77777777" w:rsidR="004D73F7" w:rsidRPr="00BE015C" w:rsidRDefault="004D73F7" w:rsidP="004C3D50">
      <w:pPr>
        <w:spacing w:after="115"/>
        <w:ind w:left="708" w:firstLine="0"/>
        <w:jc w:val="left"/>
        <w:rPr>
          <w:szCs w:val="24"/>
        </w:rPr>
      </w:pPr>
    </w:p>
    <w:p w14:paraId="1BE47C18" w14:textId="2852801D" w:rsidR="00087A15" w:rsidRPr="00BE015C" w:rsidRDefault="00087A15" w:rsidP="00810810">
      <w:pPr>
        <w:pStyle w:val="ListeParagraf"/>
        <w:spacing w:after="112"/>
        <w:ind w:left="708"/>
        <w:rPr>
          <w:rFonts w:ascii="Times New Roman" w:hAnsi="Times New Roman" w:cs="Times New Roman"/>
          <w:sz w:val="24"/>
          <w:szCs w:val="24"/>
        </w:rPr>
      </w:pPr>
    </w:p>
    <w:sectPr w:rsidR="00087A15" w:rsidRPr="00BE015C">
      <w:headerReference w:type="even" r:id="rId8"/>
      <w:headerReference w:type="default" r:id="rId9"/>
      <w:footerReference w:type="even" r:id="rId10"/>
      <w:footerReference w:type="default" r:id="rId11"/>
      <w:headerReference w:type="first" r:id="rId12"/>
      <w:footerReference w:type="first" r:id="rId13"/>
      <w:pgSz w:w="11906" w:h="16838"/>
      <w:pgMar w:top="247" w:right="717" w:bottom="707"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B228" w14:textId="77777777" w:rsidR="000B0050" w:rsidRDefault="000B0050" w:rsidP="00BE015C">
      <w:pPr>
        <w:spacing w:after="0" w:line="240" w:lineRule="auto"/>
      </w:pPr>
      <w:r>
        <w:separator/>
      </w:r>
    </w:p>
  </w:endnote>
  <w:endnote w:type="continuationSeparator" w:id="0">
    <w:p w14:paraId="2A6805EA" w14:textId="77777777" w:rsidR="000B0050" w:rsidRDefault="000B0050" w:rsidP="00BE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A597" w14:textId="77777777" w:rsidR="009E0F9B" w:rsidRDefault="009E0F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5EF8" w14:textId="77777777" w:rsidR="00BE015C" w:rsidRDefault="00BE015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1024" w14:textId="77777777" w:rsidR="009E0F9B" w:rsidRDefault="009E0F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24A3" w14:textId="77777777" w:rsidR="000B0050" w:rsidRDefault="000B0050" w:rsidP="00BE015C">
      <w:pPr>
        <w:spacing w:after="0" w:line="240" w:lineRule="auto"/>
      </w:pPr>
      <w:r>
        <w:separator/>
      </w:r>
    </w:p>
  </w:footnote>
  <w:footnote w:type="continuationSeparator" w:id="0">
    <w:p w14:paraId="761B2413" w14:textId="77777777" w:rsidR="000B0050" w:rsidRDefault="000B0050" w:rsidP="00BE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CC0" w14:textId="77777777" w:rsidR="009E0F9B" w:rsidRDefault="009E0F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8DD5" w14:textId="77777777" w:rsidR="009E0F9B" w:rsidRDefault="009E0F9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BFBE" w14:textId="77777777" w:rsidR="009E0F9B" w:rsidRDefault="009E0F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0A27"/>
    <w:multiLevelType w:val="hybridMultilevel"/>
    <w:tmpl w:val="98D80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B46A2A"/>
    <w:multiLevelType w:val="hybridMultilevel"/>
    <w:tmpl w:val="8332A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C57F26"/>
    <w:multiLevelType w:val="hybridMultilevel"/>
    <w:tmpl w:val="9FF0227C"/>
    <w:lvl w:ilvl="0" w:tplc="869E05F4">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48A536E5"/>
    <w:multiLevelType w:val="hybridMultilevel"/>
    <w:tmpl w:val="299A41D0"/>
    <w:lvl w:ilvl="0" w:tplc="68F27FF6">
      <w:start w:val="1"/>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9E05F4">
      <w:start w:val="1"/>
      <w:numFmt w:val="bullet"/>
      <w:lvlText w:val="•"/>
      <w:lvlJc w:val="left"/>
      <w:pPr>
        <w:ind w:left="91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78B8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D24E8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869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826E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5EE09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07A5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08FF6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F35626"/>
    <w:multiLevelType w:val="hybridMultilevel"/>
    <w:tmpl w:val="DD3A9E72"/>
    <w:lvl w:ilvl="0" w:tplc="869E05F4">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78E542A9"/>
    <w:multiLevelType w:val="hybridMultilevel"/>
    <w:tmpl w:val="43BE641A"/>
    <w:lvl w:ilvl="0" w:tplc="A0C40C3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540638">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36EF2C">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BAD87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CEB274">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FAFE48">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4EEE88">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52C624">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BAA168">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FE2537"/>
    <w:multiLevelType w:val="multilevel"/>
    <w:tmpl w:val="BADAE8EC"/>
    <w:lvl w:ilvl="0">
      <w:start w:val="4"/>
      <w:numFmt w:val="decimal"/>
      <w:lvlText w:val="%1."/>
      <w:lvlJc w:val="left"/>
      <w:pPr>
        <w:ind w:left="644" w:hanging="360"/>
      </w:pPr>
      <w:rPr>
        <w:rFonts w:hint="default"/>
        <w:b/>
      </w:rPr>
    </w:lvl>
    <w:lvl w:ilvl="1">
      <w:start w:val="9"/>
      <w:numFmt w:val="decimal"/>
      <w:isLgl/>
      <w:lvlText w:val="%1.%2."/>
      <w:lvlJc w:val="left"/>
      <w:pPr>
        <w:ind w:left="794" w:hanging="45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84" w:hanging="720"/>
      </w:pPr>
      <w:rPr>
        <w:rFonts w:hint="default"/>
      </w:rPr>
    </w:lvl>
    <w:lvl w:ilvl="4">
      <w:start w:val="1"/>
      <w:numFmt w:val="decimal"/>
      <w:isLgl/>
      <w:lvlText w:val="%1.%2.%3.%4.%5."/>
      <w:lvlJc w:val="left"/>
      <w:pPr>
        <w:ind w:left="160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64" w:hanging="1800"/>
      </w:pPr>
      <w:rPr>
        <w:rFonts w:hint="default"/>
      </w:rPr>
    </w:lvl>
  </w:abstractNum>
  <w:num w:numId="1" w16cid:durableId="1733040509">
    <w:abstractNumId w:val="5"/>
  </w:num>
  <w:num w:numId="2" w16cid:durableId="1685353539">
    <w:abstractNumId w:val="0"/>
  </w:num>
  <w:num w:numId="3" w16cid:durableId="153616815">
    <w:abstractNumId w:val="1"/>
  </w:num>
  <w:num w:numId="4" w16cid:durableId="1758742526">
    <w:abstractNumId w:val="6"/>
  </w:num>
  <w:num w:numId="5" w16cid:durableId="118884382">
    <w:abstractNumId w:val="3"/>
  </w:num>
  <w:num w:numId="6" w16cid:durableId="715008971">
    <w:abstractNumId w:val="2"/>
  </w:num>
  <w:num w:numId="7" w16cid:durableId="1431853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D2"/>
    <w:rsid w:val="00087A15"/>
    <w:rsid w:val="00096EAF"/>
    <w:rsid w:val="000B0050"/>
    <w:rsid w:val="000F1094"/>
    <w:rsid w:val="000F5A61"/>
    <w:rsid w:val="001A60F8"/>
    <w:rsid w:val="001C5E39"/>
    <w:rsid w:val="00225A75"/>
    <w:rsid w:val="00265D84"/>
    <w:rsid w:val="004C3D50"/>
    <w:rsid w:val="004D73F7"/>
    <w:rsid w:val="0055764B"/>
    <w:rsid w:val="006B31E4"/>
    <w:rsid w:val="006B7E0C"/>
    <w:rsid w:val="00741DF4"/>
    <w:rsid w:val="00752D1C"/>
    <w:rsid w:val="007D58CE"/>
    <w:rsid w:val="00810810"/>
    <w:rsid w:val="00872725"/>
    <w:rsid w:val="009E0F9B"/>
    <w:rsid w:val="009E5445"/>
    <w:rsid w:val="009F1F96"/>
    <w:rsid w:val="00AC1E6B"/>
    <w:rsid w:val="00BD211D"/>
    <w:rsid w:val="00BE015C"/>
    <w:rsid w:val="00C95984"/>
    <w:rsid w:val="00CC5CD0"/>
    <w:rsid w:val="00D64469"/>
    <w:rsid w:val="00D756DF"/>
    <w:rsid w:val="00F077D2"/>
    <w:rsid w:val="00FB47B1"/>
    <w:rsid w:val="00FD5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5AD7A"/>
  <w15:chartTrackingRefBased/>
  <w15:docId w15:val="{72363EE4-A30D-4623-B394-6F919283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50"/>
    <w:pPr>
      <w:spacing w:after="4"/>
      <w:ind w:left="70" w:hanging="10"/>
      <w:jc w:val="both"/>
    </w:pPr>
    <w:rPr>
      <w:rFonts w:ascii="Times New Roman" w:eastAsia="Times New Roman" w:hAnsi="Times New Roman" w:cs="Times New Roman"/>
      <w:color w:val="000000"/>
      <w:kern w:val="0"/>
      <w:sz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4C3D50"/>
    <w:pPr>
      <w:spacing w:after="0" w:line="240" w:lineRule="auto"/>
    </w:pPr>
    <w:rPr>
      <w:rFonts w:eastAsiaTheme="minorEastAsia"/>
      <w:kern w:val="0"/>
      <w:lang w:eastAsia="tr-TR"/>
      <w14:ligatures w14:val="none"/>
    </w:rPr>
    <w:tblPr>
      <w:tblCellMar>
        <w:top w:w="0" w:type="dxa"/>
        <w:left w:w="0" w:type="dxa"/>
        <w:bottom w:w="0" w:type="dxa"/>
        <w:right w:w="0" w:type="dxa"/>
      </w:tblCellMar>
    </w:tblPr>
  </w:style>
  <w:style w:type="paragraph" w:styleId="ListeParagraf">
    <w:name w:val="List Paragraph"/>
    <w:basedOn w:val="Normal"/>
    <w:uiPriority w:val="34"/>
    <w:qFormat/>
    <w:rsid w:val="004D73F7"/>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stBilgi">
    <w:name w:val="header"/>
    <w:basedOn w:val="Normal"/>
    <w:link w:val="stBilgiChar"/>
    <w:uiPriority w:val="99"/>
    <w:unhideWhenUsed/>
    <w:rsid w:val="00BE01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15C"/>
    <w:rPr>
      <w:rFonts w:ascii="Times New Roman" w:eastAsia="Times New Roman" w:hAnsi="Times New Roman" w:cs="Times New Roman"/>
      <w:color w:val="000000"/>
      <w:kern w:val="0"/>
      <w:sz w:val="24"/>
      <w:lang w:eastAsia="tr-TR"/>
      <w14:ligatures w14:val="none"/>
    </w:rPr>
  </w:style>
  <w:style w:type="paragraph" w:styleId="AltBilgi">
    <w:name w:val="footer"/>
    <w:basedOn w:val="Normal"/>
    <w:link w:val="AltBilgiChar"/>
    <w:uiPriority w:val="99"/>
    <w:unhideWhenUsed/>
    <w:rsid w:val="00BE01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15C"/>
    <w:rPr>
      <w:rFonts w:ascii="Times New Roman" w:eastAsia="Times New Roman" w:hAnsi="Times New Roman" w:cs="Times New Roman"/>
      <w:color w:val="000000"/>
      <w:kern w:val="0"/>
      <w:sz w:val="24"/>
      <w:lang w:eastAsia="tr-TR"/>
      <w14:ligatures w14:val="none"/>
    </w:rPr>
  </w:style>
  <w:style w:type="table" w:styleId="TabloKlavuzu">
    <w:name w:val="Table Grid"/>
    <w:basedOn w:val="NormalTablo"/>
    <w:uiPriority w:val="59"/>
    <w:rsid w:val="00BE015C"/>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45</cp:revision>
  <cp:lastPrinted>2023-05-04T12:05:00Z</cp:lastPrinted>
  <dcterms:created xsi:type="dcterms:W3CDTF">2023-04-11T10:42:00Z</dcterms:created>
  <dcterms:modified xsi:type="dcterms:W3CDTF">2023-05-08T11:29:00Z</dcterms:modified>
</cp:coreProperties>
</file>