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82"/>
        <w:tblW w:w="10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7130"/>
      </w:tblGrid>
      <w:tr w:rsidR="00FC5964" w:rsidRPr="00FC5964" w14:paraId="422BD01F" w14:textId="77777777" w:rsidTr="0064786E">
        <w:trPr>
          <w:trHeight w:hRule="exact" w:val="26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E8205" w14:textId="77777777" w:rsidR="00FC5964" w:rsidRPr="00FC5964" w:rsidRDefault="00FC5964" w:rsidP="00FC5964">
            <w:pPr>
              <w:spacing w:after="0" w:line="240" w:lineRule="exact"/>
              <w:ind w:left="10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Bi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2"/>
                <w:w w:val="133"/>
                <w:sz w:val="24"/>
                <w:szCs w:val="24"/>
                <w:lang w:eastAsia="tr-TR"/>
              </w:rPr>
              <w:t>r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i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w w:val="107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EBB15" w14:textId="77777777" w:rsidR="00FC5964" w:rsidRPr="00FC5964" w:rsidRDefault="00FC5964" w:rsidP="00FC5964">
            <w:pPr>
              <w:spacing w:after="0" w:line="240" w:lineRule="exact"/>
              <w:ind w:left="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FC596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Diş He</w:t>
            </w:r>
            <w:r w:rsidRPr="00FC5964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tr-TR"/>
              </w:rPr>
              <w:t>k</w:t>
            </w:r>
            <w:r w:rsidRPr="00FC596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</w:t>
            </w:r>
            <w:r w:rsidRPr="00FC5964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tr-TR"/>
              </w:rPr>
              <w:t>m</w:t>
            </w:r>
            <w:r w:rsidRPr="00FC5964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eastAsia="tr-TR"/>
              </w:rPr>
              <w:t>l</w:t>
            </w:r>
            <w:r w:rsidRPr="00FC596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</w:t>
            </w:r>
            <w:r w:rsidRPr="00FC5964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tr-TR"/>
              </w:rPr>
              <w:t>ğ</w:t>
            </w:r>
            <w:r w:rsidRPr="00FC596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</w:t>
            </w:r>
            <w:r w:rsidRPr="00FC5964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eastAsia="tr-TR"/>
              </w:rPr>
              <w:t xml:space="preserve"> </w:t>
            </w:r>
            <w:r w:rsidRPr="00FC5964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tr-TR"/>
              </w:rPr>
              <w:t>F</w:t>
            </w:r>
            <w:r w:rsidRPr="00FC5964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tr-TR"/>
              </w:rPr>
              <w:t>a</w:t>
            </w:r>
            <w:r w:rsidRPr="00FC5964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tr-TR"/>
              </w:rPr>
              <w:t>k</w:t>
            </w:r>
            <w:r w:rsidRPr="00FC596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</w:t>
            </w:r>
            <w:r w:rsidRPr="00FC5964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eastAsia="tr-TR"/>
              </w:rPr>
              <w:t>l</w:t>
            </w:r>
            <w:r w:rsidRPr="00FC596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</w:t>
            </w:r>
            <w:r w:rsidRPr="00FC5964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tr-TR"/>
              </w:rPr>
              <w:t>e</w:t>
            </w:r>
            <w:r w:rsidRPr="00FC5964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tr-TR"/>
              </w:rPr>
              <w:t>s</w:t>
            </w:r>
            <w:r w:rsidRPr="00FC596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i </w:t>
            </w:r>
            <w:r w:rsidRPr="00FC596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tr-TR"/>
              </w:rPr>
              <w:t>Diş Hekimliği Uygulama ve Araştırma Merkezi</w:t>
            </w:r>
          </w:p>
        </w:tc>
      </w:tr>
      <w:tr w:rsidR="00FC5964" w:rsidRPr="00FC5964" w14:paraId="6883C1D2" w14:textId="77777777" w:rsidTr="0064786E">
        <w:trPr>
          <w:trHeight w:hRule="exact" w:val="26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C17A5" w14:textId="77777777" w:rsidR="00FC5964" w:rsidRPr="00FC5964" w:rsidRDefault="00FC5964" w:rsidP="00FC5964">
            <w:pPr>
              <w:spacing w:after="0" w:line="240" w:lineRule="exact"/>
              <w:ind w:left="10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-2"/>
                <w:w w:val="108"/>
                <w:sz w:val="24"/>
                <w:szCs w:val="24"/>
                <w:lang w:eastAsia="tr-TR"/>
              </w:rPr>
              <w:t>G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ö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2"/>
                <w:w w:val="133"/>
                <w:sz w:val="24"/>
                <w:szCs w:val="24"/>
                <w:lang w:eastAsia="tr-TR"/>
              </w:rPr>
              <w:t>r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ev A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-1"/>
                <w:w w:val="111"/>
                <w:sz w:val="24"/>
                <w:szCs w:val="24"/>
                <w:lang w:eastAsia="tr-TR"/>
              </w:rPr>
              <w:t>d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3DB61" w14:textId="592DDBC8" w:rsidR="00FC5964" w:rsidRPr="00FC5964" w:rsidRDefault="00FC5964" w:rsidP="00FC5964">
            <w:pPr>
              <w:spacing w:after="0" w:line="240" w:lineRule="exact"/>
              <w:ind w:left="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5964">
              <w:rPr>
                <w:rFonts w:ascii="Times New Roman" w:hAnsi="Times New Roman" w:cs="Times New Roman"/>
                <w:sz w:val="24"/>
                <w:szCs w:val="24"/>
              </w:rPr>
              <w:t>Materyovijilans</w:t>
            </w:r>
            <w:proofErr w:type="spellEnd"/>
            <w:r w:rsidRPr="00FC5964">
              <w:rPr>
                <w:rFonts w:ascii="Times New Roman" w:hAnsi="Times New Roman" w:cs="Times New Roman"/>
                <w:sz w:val="24"/>
                <w:szCs w:val="24"/>
              </w:rPr>
              <w:t xml:space="preserve"> ve Biyomedikal </w:t>
            </w:r>
            <w:proofErr w:type="spellStart"/>
            <w:r w:rsidRPr="00FC5964">
              <w:rPr>
                <w:rFonts w:ascii="Times New Roman" w:hAnsi="Times New Roman" w:cs="Times New Roman"/>
                <w:sz w:val="24"/>
                <w:szCs w:val="24"/>
              </w:rPr>
              <w:t>Materyovijilans</w:t>
            </w:r>
            <w:proofErr w:type="spellEnd"/>
            <w:r w:rsidRPr="00FC5964">
              <w:rPr>
                <w:rFonts w:ascii="Times New Roman" w:hAnsi="Times New Roman" w:cs="Times New Roman"/>
                <w:sz w:val="24"/>
                <w:szCs w:val="24"/>
              </w:rPr>
              <w:t xml:space="preserve"> Sorumlusu</w:t>
            </w:r>
          </w:p>
        </w:tc>
      </w:tr>
      <w:tr w:rsidR="00FC5964" w:rsidRPr="00FC5964" w14:paraId="2062D369" w14:textId="77777777" w:rsidTr="0064786E">
        <w:trPr>
          <w:trHeight w:hRule="exact" w:val="26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F8E3A" w14:textId="77777777" w:rsidR="00FC5964" w:rsidRPr="00FC5964" w:rsidRDefault="00FC5964" w:rsidP="00FC5964">
            <w:pPr>
              <w:spacing w:after="0" w:line="240" w:lineRule="exact"/>
              <w:ind w:left="10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5964">
              <w:rPr>
                <w:rFonts w:ascii="Times New Roman" w:eastAsiaTheme="minorEastAsia" w:hAnsi="Times New Roman" w:cs="Times New Roman"/>
                <w:b/>
                <w:bCs/>
                <w:w w:val="107"/>
                <w:sz w:val="24"/>
                <w:szCs w:val="24"/>
                <w:lang w:eastAsia="tr-TR"/>
              </w:rPr>
              <w:t xml:space="preserve">Amir 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ve Ü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s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12"/>
                <w:sz w:val="24"/>
                <w:szCs w:val="24"/>
                <w:lang w:eastAsia="tr-TR"/>
              </w:rPr>
              <w:t xml:space="preserve"> 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-3"/>
                <w:w w:val="107"/>
                <w:sz w:val="24"/>
                <w:szCs w:val="24"/>
                <w:lang w:eastAsia="tr-TR"/>
              </w:rPr>
              <w:t>m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2"/>
                <w:w w:val="133"/>
                <w:sz w:val="24"/>
                <w:szCs w:val="24"/>
                <w:lang w:eastAsia="tr-TR"/>
              </w:rPr>
              <w:t>r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l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2"/>
                <w:sz w:val="24"/>
                <w:szCs w:val="24"/>
                <w:lang w:eastAsia="tr-TR"/>
              </w:rPr>
              <w:t>e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w w:val="133"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000FD" w14:textId="77777777" w:rsidR="00FC5964" w:rsidRPr="00FC5964" w:rsidRDefault="00FC5964" w:rsidP="00FC5964">
            <w:pPr>
              <w:spacing w:after="0" w:line="240" w:lineRule="exact"/>
              <w:ind w:left="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FC5964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tr-TR"/>
              </w:rPr>
              <w:t>Hastane Müdürü-Fakülte Sekreteri- Merkez Müdürü (Başhekim)-Dekan</w:t>
            </w:r>
          </w:p>
        </w:tc>
      </w:tr>
      <w:tr w:rsidR="00FC5964" w:rsidRPr="00FC5964" w14:paraId="299688BB" w14:textId="77777777" w:rsidTr="0064786E">
        <w:trPr>
          <w:trHeight w:hRule="exact" w:val="26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53365" w14:textId="77777777" w:rsidR="00FC5964" w:rsidRPr="00FC5964" w:rsidRDefault="00FC5964" w:rsidP="00FC5964">
            <w:pPr>
              <w:spacing w:after="0" w:line="240" w:lineRule="exact"/>
              <w:ind w:left="10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-2"/>
                <w:w w:val="108"/>
                <w:sz w:val="24"/>
                <w:szCs w:val="24"/>
                <w:lang w:eastAsia="tr-TR"/>
              </w:rPr>
              <w:t>G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ö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2"/>
                <w:w w:val="133"/>
                <w:sz w:val="24"/>
                <w:szCs w:val="24"/>
                <w:lang w:eastAsia="tr-TR"/>
              </w:rPr>
              <w:t>r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ev Dev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pacing w:val="-3"/>
                <w:w w:val="133"/>
                <w:sz w:val="24"/>
                <w:szCs w:val="24"/>
                <w:lang w:eastAsia="tr-TR"/>
              </w:rPr>
              <w:t>r</w:t>
            </w:r>
            <w:r w:rsidRPr="00FC59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171C7" w14:textId="6CDA843D" w:rsidR="00FC5964" w:rsidRPr="00FC5964" w:rsidRDefault="00FC5964" w:rsidP="00FC5964">
            <w:pPr>
              <w:spacing w:after="0" w:line="240" w:lineRule="exact"/>
              <w:ind w:left="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FC596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Amiri tarafından</w:t>
            </w:r>
            <w:r w:rsidRPr="00FC5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96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C5964">
              <w:rPr>
                <w:rFonts w:ascii="Times New Roman" w:hAnsi="Times New Roman" w:cs="Times New Roman"/>
                <w:sz w:val="24"/>
                <w:szCs w:val="24"/>
              </w:rPr>
              <w:t xml:space="preserve">örevlendirilen </w:t>
            </w:r>
            <w:r w:rsidRPr="00FC596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C5964">
              <w:rPr>
                <w:rFonts w:ascii="Times New Roman" w:hAnsi="Times New Roman" w:cs="Times New Roman"/>
                <w:sz w:val="24"/>
                <w:szCs w:val="24"/>
              </w:rPr>
              <w:t xml:space="preserve">etkinlikte </w:t>
            </w:r>
            <w:r w:rsidRPr="00FC596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C5964">
              <w:rPr>
                <w:rFonts w:ascii="Times New Roman" w:hAnsi="Times New Roman" w:cs="Times New Roman"/>
                <w:sz w:val="24"/>
                <w:szCs w:val="24"/>
              </w:rPr>
              <w:t>işi</w:t>
            </w:r>
          </w:p>
        </w:tc>
      </w:tr>
    </w:tbl>
    <w:p w14:paraId="75428D95" w14:textId="77777777" w:rsidR="00FC5964" w:rsidRPr="00FC5964" w:rsidRDefault="00FC5964" w:rsidP="00F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3D3A3" w14:textId="2C4BC13A" w:rsidR="00FC5964" w:rsidRPr="00FC5964" w:rsidRDefault="00FC5964" w:rsidP="00FC5964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FC596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           </w:t>
      </w:r>
      <w:r w:rsidRPr="00FC596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GÖREV AMACI:</w:t>
      </w:r>
    </w:p>
    <w:p w14:paraId="5C2EF21F" w14:textId="2CEDD3D6" w:rsidR="00FC5964" w:rsidRPr="00FC5964" w:rsidRDefault="00FC5964" w:rsidP="00FC5964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sz w:val="24"/>
          <w:szCs w:val="24"/>
        </w:rPr>
        <w:t>Piyasaya sürülmesinden sonra ortaya çıkan olumsuz olaylara uygulanacak uyarı</w:t>
      </w:r>
      <w:r w:rsidRPr="00FC5964"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sistemine bildirilmesi.</w:t>
      </w:r>
    </w:p>
    <w:p w14:paraId="45272339" w14:textId="77777777" w:rsidR="00FC5964" w:rsidRPr="00FC5964" w:rsidRDefault="00FC5964" w:rsidP="00FC5964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sz w:val="24"/>
          <w:szCs w:val="24"/>
        </w:rPr>
        <w:t>Piyasaya sürülmesinden sonra ortaya çıkan olumsuz olaylara uygulanacak uyarı sistemine ilişkin</w:t>
      </w:r>
      <w:r w:rsidRPr="00FC5964"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usul ve esaslar ile imalatçının, yetkili temsilcinin, ithalatçının, cihazın piyasaya sunulmasından</w:t>
      </w:r>
      <w:r w:rsidRPr="00FC5964"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sorumlu gerçek veya tüzel kişinin yürüteceği işlemlerini kapsamaktadır</w:t>
      </w:r>
      <w:r w:rsidRPr="00FC5964">
        <w:rPr>
          <w:rFonts w:ascii="Times New Roman" w:hAnsi="Times New Roman" w:cs="Times New Roman"/>
          <w:sz w:val="24"/>
          <w:szCs w:val="24"/>
        </w:rPr>
        <w:t>.</w:t>
      </w:r>
    </w:p>
    <w:p w14:paraId="695266E1" w14:textId="77777777" w:rsidR="00FC5964" w:rsidRPr="00FC5964" w:rsidRDefault="00FC5964" w:rsidP="00F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b/>
          <w:sz w:val="24"/>
          <w:szCs w:val="24"/>
        </w:rPr>
        <w:t>GÖREV, YETKİ VE SORUMLULUKLAR</w:t>
      </w:r>
      <w:proofErr w:type="gramStart"/>
      <w:r w:rsidRPr="00FC5964">
        <w:rPr>
          <w:rFonts w:ascii="Times New Roman" w:hAnsi="Times New Roman" w:cs="Times New Roman"/>
          <w:b/>
          <w:sz w:val="24"/>
          <w:szCs w:val="24"/>
        </w:rPr>
        <w:t>:</w:t>
      </w:r>
      <w:r w:rsidRPr="00FC5964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FC5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FCF27" w14:textId="3270D054" w:rsidR="00FC5964" w:rsidRPr="00FC5964" w:rsidRDefault="00FC5964" w:rsidP="00FC5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964">
        <w:rPr>
          <w:rFonts w:ascii="Times New Roman" w:hAnsi="Times New Roman" w:cs="Times New Roman"/>
          <w:b/>
          <w:bCs/>
          <w:sz w:val="24"/>
          <w:szCs w:val="24"/>
        </w:rPr>
        <w:t>TANIMLAR:</w:t>
      </w:r>
      <w:r w:rsidRPr="00FC59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14:paraId="2952C94A" w14:textId="557A021C" w:rsidR="00FC5964" w:rsidRPr="00FC5964" w:rsidRDefault="00FC5964" w:rsidP="00F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964">
        <w:rPr>
          <w:rFonts w:ascii="Times New Roman" w:hAnsi="Times New Roman" w:cs="Times New Roman"/>
          <w:b/>
          <w:bCs/>
          <w:sz w:val="24"/>
          <w:szCs w:val="24"/>
        </w:rPr>
        <w:t>Materyovijilans</w:t>
      </w:r>
      <w:proofErr w:type="spellEnd"/>
      <w:r w:rsidRPr="00FC596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FC5964">
        <w:rPr>
          <w:rFonts w:ascii="Times New Roman" w:hAnsi="Times New Roman" w:cs="Times New Roman"/>
          <w:sz w:val="24"/>
          <w:szCs w:val="24"/>
        </w:rPr>
        <w:t xml:space="preserve"> Tıbbi sarf malzemelerde beklenmeyen etkilerin ve hatalı ürünlerin</w:t>
      </w:r>
    </w:p>
    <w:p w14:paraId="6800D6D9" w14:textId="77777777" w:rsidR="00FC5964" w:rsidRPr="00FC5964" w:rsidRDefault="00FC5964" w:rsidP="00F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964">
        <w:rPr>
          <w:rFonts w:ascii="Times New Roman" w:hAnsi="Times New Roman" w:cs="Times New Roman"/>
          <w:sz w:val="24"/>
          <w:szCs w:val="24"/>
        </w:rPr>
        <w:t>takip</w:t>
      </w:r>
      <w:proofErr w:type="gramEnd"/>
      <w:r w:rsidRPr="00FC5964">
        <w:rPr>
          <w:rFonts w:ascii="Times New Roman" w:hAnsi="Times New Roman" w:cs="Times New Roman"/>
          <w:sz w:val="24"/>
          <w:szCs w:val="24"/>
        </w:rPr>
        <w:t xml:space="preserve"> ve tespit edilmesidir.</w:t>
      </w:r>
    </w:p>
    <w:p w14:paraId="02D47CAE" w14:textId="0800F8B9" w:rsidR="00FC5964" w:rsidRPr="00FC5964" w:rsidRDefault="00FC5964" w:rsidP="00F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b/>
          <w:bCs/>
          <w:sz w:val="24"/>
          <w:szCs w:val="24"/>
        </w:rPr>
        <w:t xml:space="preserve">Biyomedikal </w:t>
      </w:r>
      <w:proofErr w:type="spellStart"/>
      <w:r w:rsidRPr="00FC5964">
        <w:rPr>
          <w:rFonts w:ascii="Times New Roman" w:hAnsi="Times New Roman" w:cs="Times New Roman"/>
          <w:b/>
          <w:bCs/>
          <w:sz w:val="24"/>
          <w:szCs w:val="24"/>
        </w:rPr>
        <w:t>Materyovijilans</w:t>
      </w:r>
      <w:proofErr w:type="spellEnd"/>
      <w:r w:rsidRPr="00FC596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C5964">
        <w:rPr>
          <w:rFonts w:ascii="Times New Roman" w:hAnsi="Times New Roman" w:cs="Times New Roman"/>
          <w:sz w:val="24"/>
          <w:szCs w:val="24"/>
        </w:rPr>
        <w:t xml:space="preserve"> Tıbbi cihazlardan kaynaklanan beklenmedik etki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karşılaşılması durumunda beklenmeyen etkilerin ve hatalı ürünlerin takip ve tespit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edilmesidir.</w:t>
      </w:r>
    </w:p>
    <w:p w14:paraId="5614C6CF" w14:textId="3678E14C" w:rsidR="00FC5964" w:rsidRPr="00FC5964" w:rsidRDefault="00FC5964" w:rsidP="00F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964">
        <w:rPr>
          <w:rFonts w:ascii="Times New Roman" w:hAnsi="Times New Roman" w:cs="Times New Roman"/>
          <w:b/>
          <w:bCs/>
          <w:sz w:val="24"/>
          <w:szCs w:val="24"/>
        </w:rPr>
        <w:t>Beşeri</w:t>
      </w:r>
      <w:proofErr w:type="gramEnd"/>
      <w:r w:rsidRPr="00FC5964">
        <w:rPr>
          <w:rFonts w:ascii="Times New Roman" w:hAnsi="Times New Roman" w:cs="Times New Roman"/>
          <w:b/>
          <w:bCs/>
          <w:sz w:val="24"/>
          <w:szCs w:val="24"/>
        </w:rPr>
        <w:t xml:space="preserve"> Tıbbi Ürün/Ürün:</w:t>
      </w:r>
      <w:r w:rsidRPr="00FC5964">
        <w:rPr>
          <w:rFonts w:ascii="Times New Roman" w:hAnsi="Times New Roman" w:cs="Times New Roman"/>
          <w:sz w:val="24"/>
          <w:szCs w:val="24"/>
        </w:rPr>
        <w:t xml:space="preserve"> Hastalığı tedavi etmek ve/veya önlemek, bir teşhis yapmak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veya bir fizyolojik fonksiyonu, düzenlemek veya değiştirmek amacıyla,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insana uygulanan doğal ve/veya sentetik kaynaklı etkin madde veya maddeler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kombinasyonudur.</w:t>
      </w:r>
    </w:p>
    <w:p w14:paraId="24987EAB" w14:textId="290FA2AB" w:rsidR="00FC5964" w:rsidRDefault="00FC5964" w:rsidP="00F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b/>
          <w:bCs/>
          <w:sz w:val="24"/>
          <w:szCs w:val="24"/>
        </w:rPr>
        <w:t>TÜFAM:</w:t>
      </w:r>
      <w:r w:rsidRPr="00FC5964">
        <w:rPr>
          <w:rFonts w:ascii="Times New Roman" w:hAnsi="Times New Roman" w:cs="Times New Roman"/>
          <w:sz w:val="24"/>
          <w:szCs w:val="24"/>
        </w:rPr>
        <w:t xml:space="preserve"> Bakanlık İlaç ve Eczacılık Genel Müdürlüğü bünyesinde kurulmuş 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Türkiye Farmakovijilans Merkezini ifade eder.</w:t>
      </w:r>
    </w:p>
    <w:p w14:paraId="7563D24B" w14:textId="77777777" w:rsidR="00FC5964" w:rsidRPr="00FC5964" w:rsidRDefault="00FC5964" w:rsidP="00F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C784A" w14:textId="31F8D59B" w:rsidR="00FC5964" w:rsidRPr="00FC5964" w:rsidRDefault="00FC5964" w:rsidP="00F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b/>
          <w:bCs/>
          <w:sz w:val="24"/>
          <w:szCs w:val="24"/>
        </w:rPr>
        <w:t>UYGULAMA:</w:t>
      </w:r>
      <w:r w:rsidRPr="00FC5964">
        <w:rPr>
          <w:rFonts w:ascii="Times New Roman" w:hAnsi="Times New Roman" w:cs="Times New Roman"/>
          <w:sz w:val="24"/>
          <w:szCs w:val="24"/>
        </w:rPr>
        <w:t xml:space="preserve"> İmalatçı, yönetmelikler doğrultusunda imal ettiği cihazların kullanımı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kullanımdan elde edilen performans, meydana gelen istenmeyen durumlar, yan etkiler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riskler gibi hususları göz önünde bulundurmak zorundadır. Cihaz ile ilgili olumsuz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olay hakkında bilgi alındığında, bu durum imalatçı, yetkili temsilci, ithalatçı veya cihazın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piyasaya arz edilmesinden sorumlu gerçek veya tüzel kişi tarafından Bakanlığa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bildirilecek ve ayrıca olayın nedeni ve bertarafına yönelik inceleme başlatılacak.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Yapılacak risk değerlendirilmesi doğrultusunda ürünün güvenli şekilde kullanımına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yönelik düzeltici faaliyetler yerine getirilecek. İmalatçı uyarı sistemi kapsamındaki tüm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belgeleri Bakanlığa vermek üzere saklı tutacak. Sağlık Bakanlığı da olumsuz olay konusu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cihaza yönelik olarak imalatçı, yetkili temsilci, ithalatçı veya cihazın piyasaya arzından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sorumlu gerçek veya tüzel kişilerce gerçekleştirilen incelemelere ait raporların takip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değerlendirmesini yapacak, ek olarak tıbbi cihaz uyarı sistemi kapsamındaki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faaliyetlerinin etkinliğini izleyecek, incelemesine müdahale edebilecek ya da bağımsız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inceleme başlatabilecek. Bakanlık, cihazın güvenli hale getirilmesine yönelik tüm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faaliyetlerin gerçekleştirilmesini sağlayacak.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 xml:space="preserve">Kullanım kılavuzunda </w:t>
      </w:r>
      <w:r w:rsidRPr="00FC5964">
        <w:rPr>
          <w:rFonts w:ascii="Times New Roman" w:hAnsi="Times New Roman" w:cs="Times New Roman"/>
          <w:sz w:val="24"/>
          <w:szCs w:val="24"/>
        </w:rPr>
        <w:lastRenderedPageBreak/>
        <w:t>belirtilen kullanım amacına uygun olarak kullanıldığında cihazın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performansında veya özelliklerinde bir hata, arıza veya beklenmeyen bir etki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etkileşimin meydana gelmesinden, olumsuz olayın hastanın, kullanıcının veya diğerlerinin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ölümüne yol açmasına kadar pek çok konuda Bakanlığa bildirim yapılmalıdır.</w:t>
      </w:r>
    </w:p>
    <w:p w14:paraId="744F98E7" w14:textId="40EB81A8" w:rsidR="00FC5964" w:rsidRPr="00FC5964" w:rsidRDefault="00FC5964" w:rsidP="00FC5964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sz w:val="24"/>
          <w:szCs w:val="24"/>
        </w:rPr>
        <w:t xml:space="preserve">Olumsuz olayın oluştuğu birim, </w:t>
      </w:r>
      <w:proofErr w:type="spellStart"/>
      <w:r w:rsidRPr="00FC5964">
        <w:rPr>
          <w:rFonts w:ascii="Times New Roman" w:hAnsi="Times New Roman" w:cs="Times New Roman"/>
          <w:sz w:val="24"/>
          <w:szCs w:val="24"/>
        </w:rPr>
        <w:t>Materyovijilans</w:t>
      </w:r>
      <w:proofErr w:type="spellEnd"/>
      <w:r w:rsidRPr="00FC5964">
        <w:rPr>
          <w:rFonts w:ascii="Times New Roman" w:hAnsi="Times New Roman" w:cs="Times New Roman"/>
          <w:sz w:val="24"/>
          <w:szCs w:val="24"/>
        </w:rPr>
        <w:t xml:space="preserve"> sorumlusuna, durumu bildirir.</w:t>
      </w:r>
    </w:p>
    <w:p w14:paraId="0AAAB376" w14:textId="20F9F980" w:rsidR="00FC5964" w:rsidRPr="00FC5964" w:rsidRDefault="00FC5964" w:rsidP="00FC5964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964">
        <w:rPr>
          <w:rFonts w:ascii="Times New Roman" w:hAnsi="Times New Roman" w:cs="Times New Roman"/>
          <w:sz w:val="24"/>
          <w:szCs w:val="24"/>
        </w:rPr>
        <w:t>Materyovijilans</w:t>
      </w:r>
      <w:proofErr w:type="spellEnd"/>
      <w:r w:rsidRPr="00FC5964">
        <w:rPr>
          <w:rFonts w:ascii="Times New Roman" w:hAnsi="Times New Roman" w:cs="Times New Roman"/>
          <w:sz w:val="24"/>
          <w:szCs w:val="24"/>
        </w:rPr>
        <w:t xml:space="preserve"> sorumlusu, hatalı ürün bildirim formunu doldurur, hayati önem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taşımıyorsa, firmaya bildirimi yapar. Firma gerekli işlemleri yürütür.</w:t>
      </w:r>
    </w:p>
    <w:p w14:paraId="57CEA247" w14:textId="1F73D0C4" w:rsidR="00344D34" w:rsidRPr="00FC5964" w:rsidRDefault="00FC5964" w:rsidP="00FC5964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sz w:val="24"/>
          <w:szCs w:val="24"/>
        </w:rPr>
        <w:t>Hayati önem taşıyorsa ilgili formda belirtir, bakanlığa bildirimi yapılır. Bakanlık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tarafından, piyasa gözetimi sebep olan ürünler tespit edilir, kullanılmaması, piyasadan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64">
        <w:rPr>
          <w:rFonts w:ascii="Times New Roman" w:hAnsi="Times New Roman" w:cs="Times New Roman"/>
          <w:sz w:val="24"/>
          <w:szCs w:val="24"/>
        </w:rPr>
        <w:t>çekilmesi gereken ürünler tespit edilir, duyurusu yapılır.</w:t>
      </w:r>
    </w:p>
    <w:p w14:paraId="5B459E44" w14:textId="77777777" w:rsidR="004A4835" w:rsidRPr="00FC5964" w:rsidRDefault="004A4835" w:rsidP="004A483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4835" w:rsidRPr="00FC59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2A5DF" w14:textId="77777777" w:rsidR="00612736" w:rsidRDefault="00612736" w:rsidP="00EC765E">
      <w:pPr>
        <w:spacing w:after="0" w:line="240" w:lineRule="auto"/>
      </w:pPr>
      <w:r>
        <w:separator/>
      </w:r>
    </w:p>
  </w:endnote>
  <w:endnote w:type="continuationSeparator" w:id="0">
    <w:p w14:paraId="31B58D21" w14:textId="77777777" w:rsidR="00612736" w:rsidRDefault="00612736" w:rsidP="00EC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10490" w:type="dxa"/>
      <w:tblInd w:w="-714" w:type="dxa"/>
      <w:tblLook w:val="04A0" w:firstRow="1" w:lastRow="0" w:firstColumn="1" w:lastColumn="0" w:noHBand="0" w:noVBand="1"/>
    </w:tblPr>
    <w:tblGrid>
      <w:gridCol w:w="3119"/>
      <w:gridCol w:w="2137"/>
      <w:gridCol w:w="1974"/>
      <w:gridCol w:w="3260"/>
    </w:tblGrid>
    <w:tr w:rsidR="00FC5964" w:rsidRPr="00F860F0" w14:paraId="2FD6DF34" w14:textId="77777777" w:rsidTr="00FC5964">
      <w:tc>
        <w:tcPr>
          <w:tcW w:w="3119" w:type="dxa"/>
        </w:tcPr>
        <w:p w14:paraId="636C7837" w14:textId="00EFC3C3" w:rsidR="00FC5964" w:rsidRPr="00F860F0" w:rsidRDefault="00FC5964" w:rsidP="00FC5964">
          <w:pPr>
            <w:tabs>
              <w:tab w:val="center" w:pos="4536"/>
              <w:tab w:val="right" w:pos="9072"/>
            </w:tabs>
            <w:ind w:firstLine="720"/>
          </w:pPr>
          <w:r>
            <w:t xml:space="preserve">         </w:t>
          </w:r>
          <w:r w:rsidRPr="00F860F0">
            <w:t>HAZIRLAYAN</w:t>
          </w:r>
        </w:p>
      </w:tc>
      <w:tc>
        <w:tcPr>
          <w:tcW w:w="2137" w:type="dxa"/>
        </w:tcPr>
        <w:p w14:paraId="746F55DE" w14:textId="77777777" w:rsidR="00FC5964" w:rsidRPr="00F860F0" w:rsidRDefault="00FC5964" w:rsidP="00FC5964">
          <w:pPr>
            <w:tabs>
              <w:tab w:val="center" w:pos="4536"/>
              <w:tab w:val="right" w:pos="9072"/>
            </w:tabs>
            <w:jc w:val="center"/>
          </w:pPr>
          <w:r w:rsidRPr="00F860F0">
            <w:t>KONTROL EDEN</w:t>
          </w:r>
        </w:p>
      </w:tc>
      <w:tc>
        <w:tcPr>
          <w:tcW w:w="1974" w:type="dxa"/>
        </w:tcPr>
        <w:p w14:paraId="534CC2B3" w14:textId="2D3DC3C2" w:rsidR="00FC5964" w:rsidRPr="00F860F0" w:rsidRDefault="00FC5964" w:rsidP="00FC5964">
          <w:pPr>
            <w:tabs>
              <w:tab w:val="center" w:pos="4536"/>
              <w:tab w:val="right" w:pos="9072"/>
            </w:tabs>
            <w:jc w:val="center"/>
          </w:pPr>
          <w:r>
            <w:t>KONTROL EDEN</w:t>
          </w:r>
        </w:p>
      </w:tc>
      <w:tc>
        <w:tcPr>
          <w:tcW w:w="3260" w:type="dxa"/>
        </w:tcPr>
        <w:p w14:paraId="42D63C5F" w14:textId="77777777" w:rsidR="00FC5964" w:rsidRPr="00F860F0" w:rsidRDefault="00FC5964" w:rsidP="00FC5964">
          <w:pPr>
            <w:tabs>
              <w:tab w:val="center" w:pos="4536"/>
              <w:tab w:val="right" w:pos="9072"/>
            </w:tabs>
            <w:jc w:val="center"/>
          </w:pPr>
          <w:r w:rsidRPr="00F860F0">
            <w:t>ONAYLAYAN</w:t>
          </w:r>
        </w:p>
      </w:tc>
    </w:tr>
    <w:tr w:rsidR="00FC5964" w:rsidRPr="00F860F0" w14:paraId="47EAA041" w14:textId="77777777" w:rsidTr="00FC5964">
      <w:trPr>
        <w:trHeight w:val="547"/>
      </w:trPr>
      <w:tc>
        <w:tcPr>
          <w:tcW w:w="3119" w:type="dxa"/>
        </w:tcPr>
        <w:p w14:paraId="613DADCC" w14:textId="5451903A" w:rsidR="00FC5964" w:rsidRPr="00F860F0" w:rsidRDefault="00FC5964" w:rsidP="00FC5964">
          <w:pPr>
            <w:tabs>
              <w:tab w:val="center" w:pos="4536"/>
              <w:tab w:val="right" w:pos="9072"/>
            </w:tabs>
            <w:jc w:val="center"/>
          </w:pPr>
          <w:r>
            <w:t>Kalite Yönetim Sorumlusu</w:t>
          </w:r>
        </w:p>
      </w:tc>
      <w:tc>
        <w:tcPr>
          <w:tcW w:w="2137" w:type="dxa"/>
        </w:tcPr>
        <w:p w14:paraId="500C4B1B" w14:textId="77777777" w:rsidR="00FC5964" w:rsidRPr="00F860F0" w:rsidRDefault="00FC5964" w:rsidP="00FC5964">
          <w:pPr>
            <w:tabs>
              <w:tab w:val="center" w:pos="4536"/>
              <w:tab w:val="right" w:pos="9072"/>
            </w:tabs>
            <w:jc w:val="center"/>
          </w:pPr>
          <w:r w:rsidRPr="00F860F0">
            <w:t>Fakülte Sekreteri</w:t>
          </w:r>
        </w:p>
      </w:tc>
      <w:tc>
        <w:tcPr>
          <w:tcW w:w="1974" w:type="dxa"/>
        </w:tcPr>
        <w:p w14:paraId="16415822" w14:textId="548C0506" w:rsidR="00FC5964" w:rsidRPr="00F860F0" w:rsidRDefault="00FC5964" w:rsidP="00FC5964">
          <w:pPr>
            <w:tabs>
              <w:tab w:val="center" w:pos="4536"/>
              <w:tab w:val="right" w:pos="9072"/>
            </w:tabs>
            <w:jc w:val="center"/>
          </w:pPr>
          <w:r>
            <w:t>Kalite Direktörü</w:t>
          </w:r>
        </w:p>
      </w:tc>
      <w:tc>
        <w:tcPr>
          <w:tcW w:w="3260" w:type="dxa"/>
        </w:tcPr>
        <w:p w14:paraId="75B1FAAC" w14:textId="79F0F74A" w:rsidR="00FC5964" w:rsidRPr="00F860F0" w:rsidRDefault="00FC5964" w:rsidP="00FC5964">
          <w:pPr>
            <w:tabs>
              <w:tab w:val="center" w:pos="4536"/>
              <w:tab w:val="right" w:pos="9072"/>
            </w:tabs>
            <w:jc w:val="center"/>
          </w:pPr>
          <w:r>
            <w:t>Dekan</w:t>
          </w:r>
        </w:p>
      </w:tc>
    </w:tr>
  </w:tbl>
  <w:p w14:paraId="59B50294" w14:textId="77777777" w:rsidR="00EC765E" w:rsidRDefault="00EC76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98A8D" w14:textId="77777777" w:rsidR="00612736" w:rsidRDefault="00612736" w:rsidP="00EC765E">
      <w:pPr>
        <w:spacing w:after="0" w:line="240" w:lineRule="auto"/>
      </w:pPr>
      <w:r>
        <w:separator/>
      </w:r>
    </w:p>
  </w:footnote>
  <w:footnote w:type="continuationSeparator" w:id="0">
    <w:p w14:paraId="442E569E" w14:textId="77777777" w:rsidR="00612736" w:rsidRDefault="00612736" w:rsidP="00EC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160" w:vertAnchor="text" w:horzAnchor="margin" w:tblpXSpec="center" w:tblpY="189"/>
      <w:tblW w:w="5575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8"/>
      <w:gridCol w:w="1988"/>
      <w:gridCol w:w="1716"/>
    </w:tblGrid>
    <w:tr w:rsidR="00FC5964" w:rsidRPr="00453C4A" w14:paraId="78B8FC55" w14:textId="77777777" w:rsidTr="0064786E">
      <w:trPr>
        <w:trHeight w:val="177"/>
      </w:trPr>
      <w:tc>
        <w:tcPr>
          <w:tcW w:w="3163" w:type="pct"/>
          <w:vMerge w:val="restart"/>
        </w:tcPr>
        <w:p w14:paraId="4070674B" w14:textId="77777777" w:rsidR="00FC5964" w:rsidRPr="00FC5964" w:rsidRDefault="00FC5964" w:rsidP="00FC5964">
          <w:pPr>
            <w:spacing w:after="0"/>
            <w:rPr>
              <w:rFonts w:ascii="Times New Roman" w:eastAsiaTheme="minorEastAsia" w:hAnsi="Times New Roman" w:cs="Times New Roman"/>
              <w:b/>
              <w:sz w:val="24"/>
              <w:szCs w:val="24"/>
              <w:lang w:eastAsia="tr-TR"/>
            </w:rPr>
          </w:pPr>
          <w:bookmarkStart w:id="0" w:name="_Hlk78381826"/>
          <w:r w:rsidRPr="00FC5964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FE1256B" wp14:editId="7B657593">
                <wp:simplePos x="0" y="0"/>
                <wp:positionH relativeFrom="column">
                  <wp:posOffset>-3175</wp:posOffset>
                </wp:positionH>
                <wp:positionV relativeFrom="paragraph">
                  <wp:posOffset>84455</wp:posOffset>
                </wp:positionV>
                <wp:extent cx="895350" cy="937260"/>
                <wp:effectExtent l="0" t="0" r="0" b="0"/>
                <wp:wrapSquare wrapText="bothSides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3781DD" w14:textId="77777777" w:rsidR="00FC5964" w:rsidRPr="00FC5964" w:rsidRDefault="00FC5964" w:rsidP="00FC5964">
          <w:pPr>
            <w:spacing w:after="0"/>
            <w:jc w:val="center"/>
            <w:rPr>
              <w:rFonts w:ascii="Times New Roman" w:eastAsiaTheme="minorEastAsia" w:hAnsi="Times New Roman" w:cs="Times New Roman"/>
              <w:b/>
              <w:sz w:val="24"/>
              <w:szCs w:val="24"/>
              <w:lang w:eastAsia="tr-TR"/>
            </w:rPr>
          </w:pPr>
          <w:r w:rsidRPr="00FC5964">
            <w:rPr>
              <w:rFonts w:ascii="Times New Roman" w:eastAsiaTheme="minorEastAsia" w:hAnsi="Times New Roman" w:cs="Times New Roman"/>
              <w:b/>
              <w:sz w:val="24"/>
              <w:szCs w:val="24"/>
              <w:lang w:eastAsia="tr-TR"/>
            </w:rPr>
            <w:t>Alanya Alaaddin Keykubat Üniversitesi</w:t>
          </w:r>
        </w:p>
        <w:p w14:paraId="737DB80D" w14:textId="77777777" w:rsidR="00FC5964" w:rsidRPr="00FC5964" w:rsidRDefault="00FC5964" w:rsidP="00FC5964">
          <w:pPr>
            <w:spacing w:after="0"/>
            <w:jc w:val="center"/>
            <w:rPr>
              <w:rFonts w:ascii="Times New Roman" w:eastAsiaTheme="minorEastAsia" w:hAnsi="Times New Roman" w:cs="Times New Roman"/>
              <w:b/>
              <w:sz w:val="24"/>
              <w:szCs w:val="24"/>
              <w:lang w:eastAsia="tr-TR"/>
            </w:rPr>
          </w:pPr>
          <w:r w:rsidRPr="00FC5964">
            <w:rPr>
              <w:rFonts w:ascii="Times New Roman" w:eastAsiaTheme="minorEastAsia" w:hAnsi="Times New Roman" w:cs="Times New Roman"/>
              <w:b/>
              <w:sz w:val="24"/>
              <w:szCs w:val="24"/>
              <w:lang w:eastAsia="tr-TR"/>
            </w:rPr>
            <w:t>Diş Hekimliği Uygulama ve Araştırma Merkezi</w:t>
          </w:r>
        </w:p>
        <w:p w14:paraId="390AB07A" w14:textId="61286990" w:rsidR="00FC5964" w:rsidRPr="00FC5964" w:rsidRDefault="00FC5964" w:rsidP="00FC5964">
          <w:pPr>
            <w:spacing w:after="0"/>
            <w:jc w:val="center"/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</w:pPr>
          <w:proofErr w:type="spellStart"/>
          <w:r w:rsidRPr="00FC5964">
            <w:rPr>
              <w:rFonts w:ascii="Times New Roman" w:hAnsi="Times New Roman" w:cs="Times New Roman"/>
              <w:b/>
              <w:bCs/>
              <w:sz w:val="24"/>
              <w:szCs w:val="24"/>
            </w:rPr>
            <w:t>Materyovijilans</w:t>
          </w:r>
          <w:proofErr w:type="spellEnd"/>
          <w:r w:rsidRPr="00FC596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ve Biyomedikal </w:t>
          </w:r>
          <w:proofErr w:type="spellStart"/>
          <w:r w:rsidRPr="00FC5964">
            <w:rPr>
              <w:rFonts w:ascii="Times New Roman" w:hAnsi="Times New Roman" w:cs="Times New Roman"/>
              <w:b/>
              <w:bCs/>
              <w:sz w:val="24"/>
              <w:szCs w:val="24"/>
            </w:rPr>
            <w:t>Materyovijilans</w:t>
          </w:r>
          <w:proofErr w:type="spellEnd"/>
          <w:r w:rsidRPr="00FC596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Sorumlusu</w:t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t xml:space="preserve"> </w:t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t>Görev Tanımı</w:t>
          </w:r>
        </w:p>
        <w:p w14:paraId="6A210592" w14:textId="77777777" w:rsidR="00FC5964" w:rsidRPr="00453C4A" w:rsidRDefault="00FC5964" w:rsidP="00FC5964">
          <w:pPr>
            <w:tabs>
              <w:tab w:val="left" w:pos="2370"/>
            </w:tabs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986" w:type="pct"/>
          <w:hideMark/>
        </w:tcPr>
        <w:p w14:paraId="0FDF964C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 w:rsidRPr="00453C4A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Doküman No.</w:t>
          </w:r>
        </w:p>
      </w:tc>
      <w:tc>
        <w:tcPr>
          <w:tcW w:w="851" w:type="pct"/>
          <w:hideMark/>
        </w:tcPr>
        <w:p w14:paraId="0F959670" w14:textId="236B929D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proofErr w:type="gramStart"/>
          <w:r w:rsidRPr="00453C4A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K</w:t>
          </w:r>
          <w:r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.</w:t>
          </w:r>
          <w:r w:rsidRPr="00453C4A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KU.GT</w:t>
          </w:r>
          <w:proofErr w:type="gramEnd"/>
          <w:r w:rsidRPr="00453C4A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.</w:t>
          </w:r>
          <w:r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40</w:t>
          </w:r>
        </w:p>
      </w:tc>
    </w:tr>
    <w:tr w:rsidR="00FC5964" w:rsidRPr="00453C4A" w14:paraId="14C12074" w14:textId="77777777" w:rsidTr="0064786E">
      <w:trPr>
        <w:trHeight w:val="315"/>
      </w:trPr>
      <w:tc>
        <w:tcPr>
          <w:tcW w:w="3163" w:type="pct"/>
          <w:vMerge/>
          <w:vAlign w:val="center"/>
          <w:hideMark/>
        </w:tcPr>
        <w:p w14:paraId="6BB54B2D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986" w:type="pct"/>
          <w:hideMark/>
        </w:tcPr>
        <w:p w14:paraId="2511F8C2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 w:rsidRPr="00453C4A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Yayın Tarihi</w:t>
          </w:r>
        </w:p>
      </w:tc>
      <w:tc>
        <w:tcPr>
          <w:tcW w:w="851" w:type="pct"/>
          <w:hideMark/>
        </w:tcPr>
        <w:p w14:paraId="3D80E43F" w14:textId="571CD76E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10.10.2024</w:t>
          </w:r>
        </w:p>
      </w:tc>
    </w:tr>
    <w:tr w:rsidR="00FC5964" w:rsidRPr="00453C4A" w14:paraId="020E940A" w14:textId="77777777" w:rsidTr="0064786E">
      <w:trPr>
        <w:trHeight w:val="225"/>
      </w:trPr>
      <w:tc>
        <w:tcPr>
          <w:tcW w:w="3163" w:type="pct"/>
          <w:vMerge/>
          <w:vAlign w:val="center"/>
          <w:hideMark/>
        </w:tcPr>
        <w:p w14:paraId="5006B444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986" w:type="pct"/>
          <w:hideMark/>
        </w:tcPr>
        <w:p w14:paraId="2C3E8266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 w:rsidRPr="00453C4A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Revizyon Tarihi</w:t>
          </w:r>
        </w:p>
      </w:tc>
      <w:tc>
        <w:tcPr>
          <w:tcW w:w="851" w:type="pct"/>
          <w:hideMark/>
        </w:tcPr>
        <w:p w14:paraId="751D59E5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-</w:t>
          </w:r>
        </w:p>
      </w:tc>
    </w:tr>
    <w:tr w:rsidR="00FC5964" w:rsidRPr="00453C4A" w14:paraId="5C796971" w14:textId="77777777" w:rsidTr="0064786E">
      <w:trPr>
        <w:trHeight w:val="225"/>
      </w:trPr>
      <w:tc>
        <w:tcPr>
          <w:tcW w:w="3163" w:type="pct"/>
          <w:vMerge/>
          <w:vAlign w:val="center"/>
          <w:hideMark/>
        </w:tcPr>
        <w:p w14:paraId="04520234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986" w:type="pct"/>
          <w:hideMark/>
        </w:tcPr>
        <w:p w14:paraId="592B2BB4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 w:rsidRPr="00453C4A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Revizyon No.</w:t>
          </w:r>
        </w:p>
      </w:tc>
      <w:tc>
        <w:tcPr>
          <w:tcW w:w="851" w:type="pct"/>
          <w:hideMark/>
        </w:tcPr>
        <w:p w14:paraId="68388CAB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0</w:t>
          </w:r>
        </w:p>
      </w:tc>
    </w:tr>
    <w:tr w:rsidR="00FC5964" w:rsidRPr="00453C4A" w14:paraId="76143278" w14:textId="77777777" w:rsidTr="0064786E">
      <w:trPr>
        <w:trHeight w:val="263"/>
      </w:trPr>
      <w:tc>
        <w:tcPr>
          <w:tcW w:w="3163" w:type="pct"/>
          <w:vMerge/>
          <w:vAlign w:val="center"/>
          <w:hideMark/>
        </w:tcPr>
        <w:p w14:paraId="38CEEE6A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986" w:type="pct"/>
          <w:hideMark/>
        </w:tcPr>
        <w:p w14:paraId="759D3497" w14:textId="77777777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 w:rsidRPr="00453C4A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>Sayfa No.</w:t>
          </w:r>
        </w:p>
      </w:tc>
      <w:tc>
        <w:tcPr>
          <w:tcW w:w="851" w:type="pct"/>
          <w:hideMark/>
        </w:tcPr>
        <w:p w14:paraId="2AF78E20" w14:textId="67AB7E61" w:rsidR="00FC5964" w:rsidRPr="00453C4A" w:rsidRDefault="00FC5964" w:rsidP="00FC5964">
          <w:pPr>
            <w:spacing w:after="0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t>1</w:t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  <w:r w:rsidRPr="00FC5964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t xml:space="preserve"> / </w:t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t>2</w:t>
          </w:r>
          <w:r w:rsidRPr="00FC596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  <w:bookmarkEnd w:id="0"/>
  </w:tbl>
  <w:p w14:paraId="4F52C631" w14:textId="77777777" w:rsidR="00FC5964" w:rsidRDefault="00FC59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2054"/>
    <w:multiLevelType w:val="hybridMultilevel"/>
    <w:tmpl w:val="DF9861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7C1B"/>
    <w:multiLevelType w:val="hybridMultilevel"/>
    <w:tmpl w:val="BC745C6E"/>
    <w:lvl w:ilvl="0" w:tplc="7DE67F80">
      <w:start w:val="1"/>
      <w:numFmt w:val="decimal"/>
      <w:lvlText w:val="%1."/>
      <w:lvlJc w:val="left"/>
      <w:pPr>
        <w:ind w:left="-207" w:hanging="360"/>
      </w:pPr>
      <w:rPr>
        <w:rFonts w:eastAsiaTheme="minorEastAs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42B304B"/>
    <w:multiLevelType w:val="hybridMultilevel"/>
    <w:tmpl w:val="C85E3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C7FE7"/>
    <w:multiLevelType w:val="hybridMultilevel"/>
    <w:tmpl w:val="04A0CE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167136">
    <w:abstractNumId w:val="1"/>
  </w:num>
  <w:num w:numId="2" w16cid:durableId="258409373">
    <w:abstractNumId w:val="0"/>
  </w:num>
  <w:num w:numId="3" w16cid:durableId="2071882073">
    <w:abstractNumId w:val="3"/>
  </w:num>
  <w:num w:numId="4" w16cid:durableId="139180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34"/>
    <w:rsid w:val="001A2857"/>
    <w:rsid w:val="003426D4"/>
    <w:rsid w:val="00344D34"/>
    <w:rsid w:val="00453C4A"/>
    <w:rsid w:val="00490AC8"/>
    <w:rsid w:val="004A4835"/>
    <w:rsid w:val="00612736"/>
    <w:rsid w:val="00804874"/>
    <w:rsid w:val="00942262"/>
    <w:rsid w:val="009D5473"/>
    <w:rsid w:val="00A47069"/>
    <w:rsid w:val="00B2110F"/>
    <w:rsid w:val="00C4665D"/>
    <w:rsid w:val="00EB709C"/>
    <w:rsid w:val="00EC765E"/>
    <w:rsid w:val="00F860F0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37949"/>
  <w15:chartTrackingRefBased/>
  <w15:docId w15:val="{249D1267-92F9-49D7-8599-A54C092C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48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C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65E"/>
  </w:style>
  <w:style w:type="paragraph" w:styleId="AltBilgi">
    <w:name w:val="footer"/>
    <w:basedOn w:val="Normal"/>
    <w:link w:val="AltBilgiChar"/>
    <w:uiPriority w:val="99"/>
    <w:unhideWhenUsed/>
    <w:rsid w:val="00EC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65E"/>
  </w:style>
  <w:style w:type="table" w:styleId="TabloKlavuzu">
    <w:name w:val="Table Grid"/>
    <w:basedOn w:val="NormalTablo"/>
    <w:uiPriority w:val="39"/>
    <w:rsid w:val="00EC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F860F0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896E-8789-44BF-8D63-076BBCE0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BEDİA AKBACI</cp:lastModifiedBy>
  <cp:revision>2</cp:revision>
  <cp:lastPrinted>2024-10-10T11:21:00Z</cp:lastPrinted>
  <dcterms:created xsi:type="dcterms:W3CDTF">2024-10-10T11:22:00Z</dcterms:created>
  <dcterms:modified xsi:type="dcterms:W3CDTF">2024-10-10T11:22:00Z</dcterms:modified>
</cp:coreProperties>
</file>