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1761"/>
        <w:gridCol w:w="1230"/>
      </w:tblGrid>
      <w:tr w:rsidR="00B24EE7" w:rsidRPr="00BE3FEA" w14:paraId="36652E3D" w14:textId="77777777" w:rsidTr="00B24EE7">
        <w:trPr>
          <w:trHeight w:hRule="exact" w:val="456"/>
        </w:trPr>
        <w:tc>
          <w:tcPr>
            <w:tcW w:w="35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67FA0" w14:textId="25CE77F7" w:rsidR="00B24EE7" w:rsidRPr="00BE3FEA" w:rsidRDefault="00B24EE7">
            <w:pPr>
              <w:spacing w:before="9" w:after="20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4044883"/>
            <w:bookmarkStart w:id="1" w:name="_Hlk96345503"/>
            <w:bookmarkStart w:id="2" w:name="_Hlk96543863"/>
            <w:bookmarkStart w:id="3" w:name="_Hlk96799122"/>
            <w:r w:rsidRPr="00BE3F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F89344" wp14:editId="1E1850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CB1ADB" w14:textId="77777777" w:rsidR="00B24EE7" w:rsidRPr="00BE3FEA" w:rsidRDefault="00B24EE7">
            <w:pPr>
              <w:tabs>
                <w:tab w:val="left" w:pos="465"/>
                <w:tab w:val="center" w:pos="329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Alaaddin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55D21574" w14:textId="77777777" w:rsidR="00B24EE7" w:rsidRPr="00BE3FEA" w:rsidRDefault="00B24EE7">
            <w:pPr>
              <w:tabs>
                <w:tab w:val="left" w:pos="465"/>
                <w:tab w:val="center" w:pos="375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Uygulma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778DF16F" w14:textId="77777777" w:rsidR="00B24EE7" w:rsidRPr="00BE3FEA" w:rsidRDefault="00B24EE7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B74178D" w14:textId="474F2AF5" w:rsidR="00B24EE7" w:rsidRPr="00BE3FEA" w:rsidRDefault="00B24EE7">
            <w:pPr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Düzeltici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Önleyici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Faaliyet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Prosedürü</w:t>
            </w:r>
            <w:proofErr w:type="spellEnd"/>
          </w:p>
          <w:p w14:paraId="4FB8492C" w14:textId="77777777" w:rsidR="00B24EE7" w:rsidRPr="00BE3FEA" w:rsidRDefault="00B24EE7">
            <w:pPr>
              <w:spacing w:after="20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DC0BBA" w14:textId="77777777" w:rsidR="00B24EE7" w:rsidRPr="00BE3FEA" w:rsidRDefault="00B24EE7">
            <w:pPr>
              <w:spacing w:after="200" w:line="276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BACA3D" w14:textId="77777777" w:rsidR="00B24EE7" w:rsidRPr="00BE3FEA" w:rsidRDefault="00B24EE7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E3FE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</w:t>
            </w:r>
            <w:r w:rsidRPr="00BE3FEA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ü</w:t>
            </w:r>
            <w:r w:rsidRPr="00BE3FE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m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ED871C" w14:textId="05215C8B" w:rsidR="00B24EE7" w:rsidRPr="00BE3FEA" w:rsidRDefault="00B24EE7">
            <w:pPr>
              <w:spacing w:before="29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KKY.PR.03</w:t>
            </w:r>
          </w:p>
        </w:tc>
      </w:tr>
      <w:tr w:rsidR="00B24EE7" w:rsidRPr="00BE3FEA" w14:paraId="65C319AF" w14:textId="77777777" w:rsidTr="00B24EE7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ABB7AB" w14:textId="77777777" w:rsidR="00B24EE7" w:rsidRPr="00BE3FEA" w:rsidRDefault="00B24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B20F55" w14:textId="77777777" w:rsidR="00B24EE7" w:rsidRPr="00BE3FEA" w:rsidRDefault="00B24EE7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proofErr w:type="spellEnd"/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032583" w14:textId="77777777" w:rsidR="00B24EE7" w:rsidRPr="00BE3FEA" w:rsidRDefault="00B24EE7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02.03.2022</w:t>
            </w:r>
          </w:p>
        </w:tc>
      </w:tr>
      <w:tr w:rsidR="00B24EE7" w:rsidRPr="00BE3FEA" w14:paraId="5D200994" w14:textId="77777777" w:rsidTr="00B24EE7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BD3B99" w14:textId="77777777" w:rsidR="00B24EE7" w:rsidRPr="00BE3FEA" w:rsidRDefault="00B24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A41B12" w14:textId="77777777" w:rsidR="00B24EE7" w:rsidRPr="00BE3FEA" w:rsidRDefault="00B24EE7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BE3FE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AF6E1C" w14:textId="77777777" w:rsidR="00B24EE7" w:rsidRPr="00BE3FEA" w:rsidRDefault="00B24EE7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B24EE7" w:rsidRPr="00BE3FEA" w14:paraId="2F9A206B" w14:textId="77777777" w:rsidTr="00B24EE7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1C51B3" w14:textId="77777777" w:rsidR="00B24EE7" w:rsidRPr="00BE3FEA" w:rsidRDefault="00B24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771F30" w14:textId="77777777" w:rsidR="00B24EE7" w:rsidRPr="00BE3FEA" w:rsidRDefault="00B24EE7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FE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N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F44223" w14:textId="77777777" w:rsidR="00B24EE7" w:rsidRPr="00BE3FEA" w:rsidRDefault="00B24EE7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B24EE7" w:rsidRPr="00BE3FEA" w14:paraId="2D9039E5" w14:textId="77777777" w:rsidTr="00B24EE7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DA6B55" w14:textId="77777777" w:rsidR="00B24EE7" w:rsidRPr="00BE3FEA" w:rsidRDefault="00B24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547A24" w14:textId="77777777" w:rsidR="00B24EE7" w:rsidRPr="00BE3FEA" w:rsidRDefault="00B24EE7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DE7DE2" w14:textId="737849F0" w:rsidR="00B24EE7" w:rsidRPr="00BE3FEA" w:rsidRDefault="00B24EE7">
            <w:pPr>
              <w:spacing w:before="29" w:after="200" w:line="276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bookmarkEnd w:id="0"/>
        <w:bookmarkEnd w:id="1"/>
        <w:bookmarkEnd w:id="2"/>
      </w:tr>
    </w:tbl>
    <w:bookmarkEnd w:id="3"/>
    <w:p w14:paraId="25E82B1D" w14:textId="56CAD0C6" w:rsidR="00B24EE7" w:rsidRPr="00BE3FEA" w:rsidRDefault="00B24EE7" w:rsidP="00B24E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3FEA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6243A13F" w14:textId="77777777" w:rsidR="00B24EE7" w:rsidRPr="00BE3FEA" w:rsidRDefault="00B24EE7" w:rsidP="00B24EE7">
      <w:pPr>
        <w:ind w:left="360"/>
        <w:rPr>
          <w:rFonts w:ascii="Times New Roman" w:hAnsi="Times New Roman" w:cs="Times New Roman"/>
          <w:sz w:val="24"/>
          <w:szCs w:val="24"/>
        </w:rPr>
      </w:pPr>
      <w:r w:rsidRPr="00BE3FEA">
        <w:rPr>
          <w:rFonts w:ascii="Times New Roman" w:hAnsi="Times New Roman" w:cs="Times New Roman"/>
          <w:sz w:val="24"/>
          <w:szCs w:val="24"/>
        </w:rPr>
        <w:t>Merkezimizde, Kalite ve verimlilik sorunlarına neden olan ve olabilecek durumların belirlenmesi ve Düzeltici ve Önleyici Faaliyetlerin yürürlüğe konulması için planlı ve kayıtlı bir sistem oluşturmaktır.</w:t>
      </w:r>
    </w:p>
    <w:p w14:paraId="74B795D0" w14:textId="41FB335D" w:rsidR="00B24EE7" w:rsidRPr="00BE3FEA" w:rsidRDefault="00B24EE7" w:rsidP="00B24E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3FEA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6EA90631" w14:textId="2437AFEC" w:rsidR="00B24EE7" w:rsidRPr="00BE3FEA" w:rsidRDefault="00B24EE7" w:rsidP="00B24EE7">
      <w:pPr>
        <w:ind w:left="360"/>
        <w:rPr>
          <w:rFonts w:ascii="Times New Roman" w:hAnsi="Times New Roman" w:cs="Times New Roman"/>
          <w:sz w:val="24"/>
          <w:szCs w:val="24"/>
        </w:rPr>
      </w:pPr>
      <w:r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0348ED">
        <w:rPr>
          <w:rFonts w:ascii="Times New Roman" w:hAnsi="Times New Roman" w:cs="Times New Roman"/>
          <w:sz w:val="24"/>
          <w:szCs w:val="24"/>
        </w:rPr>
        <w:t xml:space="preserve">Merkezimizdeki tüm faaliyetleri kapsar. </w:t>
      </w:r>
    </w:p>
    <w:p w14:paraId="1C5FB4C1" w14:textId="7444B112" w:rsidR="00B24EE7" w:rsidRPr="00BE3FEA" w:rsidRDefault="00B24EE7" w:rsidP="00B24E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3FEA"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14:paraId="03A35E55" w14:textId="663CCAEF" w:rsidR="00325E15" w:rsidRPr="00BE3FEA" w:rsidRDefault="00B24EE7" w:rsidP="00325E15">
      <w:pPr>
        <w:ind w:left="360"/>
        <w:rPr>
          <w:rFonts w:ascii="Times New Roman" w:hAnsi="Times New Roman" w:cs="Times New Roman"/>
          <w:sz w:val="24"/>
          <w:szCs w:val="24"/>
        </w:rPr>
      </w:pPr>
      <w:r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325E15" w:rsidRPr="00BE3FEA">
        <w:rPr>
          <w:rFonts w:ascii="Times New Roman" w:hAnsi="Times New Roman" w:cs="Times New Roman"/>
          <w:sz w:val="24"/>
          <w:szCs w:val="24"/>
        </w:rPr>
        <w:t>Dekan</w:t>
      </w:r>
      <w:r w:rsidRPr="00BE3FEA">
        <w:rPr>
          <w:rFonts w:ascii="Times New Roman" w:hAnsi="Times New Roman" w:cs="Times New Roman"/>
          <w:sz w:val="24"/>
          <w:szCs w:val="24"/>
        </w:rPr>
        <w:t xml:space="preserve">, Kalite Yönetim Birimi, Bölüm Kalite Sorumluları.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0348ED" w:rsidRPr="00BE3FEA">
        <w:rPr>
          <w:rFonts w:ascii="Times New Roman" w:hAnsi="Times New Roman" w:cs="Times New Roman"/>
          <w:b/>
          <w:bCs/>
          <w:sz w:val="24"/>
          <w:szCs w:val="24"/>
        </w:rPr>
        <w:t>4.TANIMLAR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Düzeltici Faaliyet:</w:t>
      </w:r>
      <w:r w:rsidRPr="00BE3FEA">
        <w:rPr>
          <w:rFonts w:ascii="Times New Roman" w:hAnsi="Times New Roman" w:cs="Times New Roman"/>
          <w:sz w:val="24"/>
          <w:szCs w:val="24"/>
        </w:rPr>
        <w:t xml:space="preserve"> Sisteme veya hizmete ilişkin mevcut bir uygunsuzluğun belirli bir zaman dilimi </w:t>
      </w:r>
      <w:proofErr w:type="spellStart"/>
      <w:r w:rsidRPr="00BE3FEA">
        <w:rPr>
          <w:rFonts w:ascii="Times New Roman" w:hAnsi="Times New Roman" w:cs="Times New Roman"/>
          <w:sz w:val="24"/>
          <w:szCs w:val="24"/>
        </w:rPr>
        <w:t>içersinde</w:t>
      </w:r>
      <w:proofErr w:type="spellEnd"/>
      <w:r w:rsidRPr="00BE3FEA">
        <w:rPr>
          <w:rFonts w:ascii="Times New Roman" w:hAnsi="Times New Roman" w:cs="Times New Roman"/>
          <w:sz w:val="24"/>
          <w:szCs w:val="24"/>
        </w:rPr>
        <w:t xml:space="preserve"> bir daha meydana gelmeyecek şekilde ortadan kaldırılması için yapılan faaliyetlerdir.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Önleyici Faaliyet:</w:t>
      </w:r>
      <w:r w:rsidRPr="00BE3FEA">
        <w:rPr>
          <w:rFonts w:ascii="Times New Roman" w:hAnsi="Times New Roman" w:cs="Times New Roman"/>
          <w:sz w:val="24"/>
          <w:szCs w:val="24"/>
        </w:rPr>
        <w:t xml:space="preserve"> Sisteme veya hizmete ilişkin oluşması olası uygunsuzlukların oluşmamasına yönelik olarak belirli bir zaman dilimi içinde yapılan faaliyetlerdir.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İyileştirme Faaliyetleri:</w:t>
      </w:r>
      <w:r w:rsidRPr="00BE3FEA">
        <w:rPr>
          <w:rFonts w:ascii="Times New Roman" w:hAnsi="Times New Roman" w:cs="Times New Roman"/>
          <w:sz w:val="24"/>
          <w:szCs w:val="24"/>
        </w:rPr>
        <w:t xml:space="preserve"> Merkez stratejileri doğrultusunda bölümlerin belirlediği hedeflere ulaşmak için yapılan faaliyetler.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EA0B18" w14:textId="23D00509" w:rsidR="00325E15" w:rsidRPr="00BE3FEA" w:rsidRDefault="00325E15" w:rsidP="00325E15">
      <w:pPr>
        <w:ind w:left="360"/>
        <w:rPr>
          <w:rFonts w:ascii="Times New Roman" w:hAnsi="Times New Roman" w:cs="Times New Roman"/>
          <w:sz w:val="24"/>
          <w:szCs w:val="24"/>
        </w:rPr>
      </w:pPr>
      <w:r w:rsidRPr="00BE3FEA">
        <w:rPr>
          <w:rFonts w:ascii="Times New Roman" w:hAnsi="Times New Roman" w:cs="Times New Roman"/>
          <w:b/>
          <w:bCs/>
          <w:sz w:val="24"/>
          <w:szCs w:val="24"/>
        </w:rPr>
        <w:t xml:space="preserve">5.UYGULAMA                                                                                     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BE3FEA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Pr="00BE3FEA">
        <w:rPr>
          <w:rFonts w:ascii="Times New Roman" w:hAnsi="Times New Roman" w:cs="Times New Roman"/>
          <w:sz w:val="24"/>
          <w:szCs w:val="24"/>
        </w:rPr>
        <w:t>D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üzeltici, önleyici veya iyileştirme faaliyetleri şu durumlarda başlatılabilir: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BE3FEA" w:rsidRPr="00BE3FEA">
        <w:rPr>
          <w:rFonts w:ascii="Times New Roman" w:hAnsi="Times New Roman" w:cs="Times New Roman"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Hasta ve yakınları şikâyet ve öneri kutularından çıkan anket formlarının değerlendirilmesi sonucunda,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E3FEA" w:rsidRPr="00BE3F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BE3FEA" w:rsidRPr="00BE3FEA">
        <w:rPr>
          <w:rFonts w:ascii="Times New Roman" w:hAnsi="Times New Roman" w:cs="Times New Roman"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Hasta ve yakınları anketleri sonuçlarının değerlendirme sonucunda,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3FEA" w:rsidRPr="00BE3FEA">
        <w:rPr>
          <w:rFonts w:ascii="Times New Roman" w:hAnsi="Times New Roman" w:cs="Times New Roman"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>Hasta ve yakınları şik</w:t>
      </w:r>
      <w:r w:rsidRPr="00BE3FEA">
        <w:rPr>
          <w:rFonts w:ascii="Times New Roman" w:hAnsi="Times New Roman" w:cs="Times New Roman"/>
          <w:sz w:val="24"/>
          <w:szCs w:val="24"/>
        </w:rPr>
        <w:t>a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yet ve önerileri; telefonla, web sitesinden, yüz yüze görüşmeler, hasta hakları birimine yapılan şikâyet ve öneriler, vb. değerlendirme sonucunda,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E3FEA" w:rsidRPr="00BE3FEA">
        <w:rPr>
          <w:rFonts w:ascii="Times New Roman" w:hAnsi="Times New Roman" w:cs="Times New Roman"/>
          <w:sz w:val="24"/>
          <w:szCs w:val="24"/>
        </w:rPr>
        <w:t xml:space="preserve">                 *</w:t>
      </w:r>
      <w:r w:rsidR="00B24EE7" w:rsidRPr="00BE3FEA">
        <w:rPr>
          <w:rFonts w:ascii="Times New Roman" w:hAnsi="Times New Roman" w:cs="Times New Roman"/>
          <w:sz w:val="24"/>
          <w:szCs w:val="24"/>
        </w:rPr>
        <w:t>Merkez hedefleri ve/veya göstergelerin takibi ve değerlendirme sonucunda,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Hasta, çalışan, eğitim, tesis yönetimi, bina turları ekipleri, enfeksiyon komitesi vb. ekip ve komisyon çalışmalarında,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BE3FEA" w:rsidRPr="00BE3FEA">
        <w:rPr>
          <w:rFonts w:ascii="Times New Roman" w:hAnsi="Times New Roman" w:cs="Times New Roman"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İstenmeyen Olay Bildirimleri değerlendirilmesi sonucunda,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Öz Değerlendirme sonuçlarında;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Uygun olmayan hizmetlerde,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Tedarikçilerle ilgili problemlerde, </w:t>
      </w:r>
      <w:r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E3FEA" w:rsidRPr="00BE3F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Çalışan öneri ve anketlerin değerlendirme sonucunda, </w:t>
      </w:r>
      <w:r w:rsid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E3FEA" w:rsidRPr="00BE3FEA">
        <w:rPr>
          <w:rFonts w:ascii="Times New Roman" w:hAnsi="Times New Roman" w:cs="Times New Roman"/>
          <w:sz w:val="24"/>
          <w:szCs w:val="24"/>
        </w:rPr>
        <w:t xml:space="preserve"> </w:t>
      </w:r>
      <w:r w:rsidR="00BE3FEA">
        <w:rPr>
          <w:rFonts w:ascii="Times New Roman" w:hAnsi="Times New Roman" w:cs="Times New Roman"/>
          <w:sz w:val="24"/>
          <w:szCs w:val="24"/>
        </w:rPr>
        <w:t>*</w:t>
      </w:r>
      <w:r w:rsidR="00BE3FEA" w:rsidRPr="00BE3FEA">
        <w:rPr>
          <w:rFonts w:ascii="Times New Roman" w:hAnsi="Times New Roman" w:cs="Times New Roman"/>
          <w:sz w:val="24"/>
          <w:szCs w:val="24"/>
        </w:rPr>
        <w:t xml:space="preserve">Bölüm kalite sorumluları ile yapılan değerlendirmeler sonucunda vb. başlatılabilir. </w:t>
      </w:r>
    </w:p>
    <w:p w14:paraId="44AD9D60" w14:textId="454218CD" w:rsidR="00325E15" w:rsidRDefault="00325E15" w:rsidP="00B24E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BE527B" w14:textId="076F02A4" w:rsidR="000348ED" w:rsidRPr="000348ED" w:rsidRDefault="000348ED" w:rsidP="000348ED">
      <w:pPr>
        <w:rPr>
          <w:rFonts w:ascii="Times New Roman" w:hAnsi="Times New Roman" w:cs="Times New Roman"/>
          <w:sz w:val="24"/>
          <w:szCs w:val="24"/>
        </w:rPr>
      </w:pPr>
    </w:p>
    <w:p w14:paraId="48C50BC5" w14:textId="4A615544" w:rsidR="000348ED" w:rsidRPr="000348ED" w:rsidRDefault="000348ED" w:rsidP="000348ED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1761"/>
        <w:gridCol w:w="1230"/>
      </w:tblGrid>
      <w:tr w:rsidR="00325E15" w:rsidRPr="00BE3FEA" w14:paraId="255C7600" w14:textId="77777777" w:rsidTr="00E976BD">
        <w:trPr>
          <w:trHeight w:hRule="exact" w:val="456"/>
        </w:trPr>
        <w:tc>
          <w:tcPr>
            <w:tcW w:w="35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66C73" w14:textId="77777777" w:rsidR="00325E15" w:rsidRPr="00BE3FEA" w:rsidRDefault="00325E15" w:rsidP="00E976BD">
            <w:pPr>
              <w:spacing w:before="9" w:after="20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29AB7B3" wp14:editId="54860C8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AB2BB5" w14:textId="77777777" w:rsidR="00325E15" w:rsidRPr="00BE3FEA" w:rsidRDefault="00325E15" w:rsidP="00E976BD">
            <w:pPr>
              <w:tabs>
                <w:tab w:val="left" w:pos="465"/>
                <w:tab w:val="center" w:pos="329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Alaaddin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6DB86D82" w14:textId="77777777" w:rsidR="00325E15" w:rsidRPr="00BE3FEA" w:rsidRDefault="00325E15" w:rsidP="00E976BD">
            <w:pPr>
              <w:tabs>
                <w:tab w:val="left" w:pos="465"/>
                <w:tab w:val="center" w:pos="375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Uygulma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574DFB40" w14:textId="77777777" w:rsidR="00325E15" w:rsidRPr="00BE3FEA" w:rsidRDefault="00325E15" w:rsidP="00E976BD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ACBD29" w14:textId="77777777" w:rsidR="00325E15" w:rsidRPr="00BE3FEA" w:rsidRDefault="00325E15" w:rsidP="00E976BD">
            <w:pPr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Düzeltici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Önleyici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Faaliyet</w:t>
            </w:r>
            <w:proofErr w:type="spellEnd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Prosedürü</w:t>
            </w:r>
            <w:proofErr w:type="spellEnd"/>
          </w:p>
          <w:p w14:paraId="2EE1B1DA" w14:textId="77777777" w:rsidR="00325E15" w:rsidRPr="00BE3FEA" w:rsidRDefault="00325E15" w:rsidP="00E976BD">
            <w:pPr>
              <w:spacing w:after="20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70B783" w14:textId="77777777" w:rsidR="00325E15" w:rsidRPr="00BE3FEA" w:rsidRDefault="00325E15" w:rsidP="00E976BD">
            <w:pPr>
              <w:spacing w:after="200" w:line="276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3CE2B9" w14:textId="77777777" w:rsidR="00325E15" w:rsidRPr="00BE3FEA" w:rsidRDefault="00325E15" w:rsidP="00E976BD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E3FE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</w:t>
            </w:r>
            <w:r w:rsidRPr="00BE3FEA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ü</w:t>
            </w:r>
            <w:r w:rsidRPr="00BE3FE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m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D2ADA5" w14:textId="77777777" w:rsidR="00325E15" w:rsidRPr="00BE3FEA" w:rsidRDefault="00325E15" w:rsidP="00E976BD">
            <w:pPr>
              <w:spacing w:before="29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KKY.PR.03</w:t>
            </w:r>
          </w:p>
        </w:tc>
      </w:tr>
      <w:tr w:rsidR="00325E15" w:rsidRPr="00BE3FEA" w14:paraId="3CD51071" w14:textId="77777777" w:rsidTr="00E976BD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27966B" w14:textId="77777777" w:rsidR="00325E15" w:rsidRPr="00BE3FEA" w:rsidRDefault="00325E15" w:rsidP="00E9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C27E74" w14:textId="77777777" w:rsidR="00325E15" w:rsidRPr="00BE3FEA" w:rsidRDefault="00325E15" w:rsidP="00E976BD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proofErr w:type="spellEnd"/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7A2472" w14:textId="77777777" w:rsidR="00325E15" w:rsidRPr="00BE3FEA" w:rsidRDefault="00325E15" w:rsidP="00E976BD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02.03.2022</w:t>
            </w:r>
          </w:p>
        </w:tc>
      </w:tr>
      <w:tr w:rsidR="00325E15" w:rsidRPr="00BE3FEA" w14:paraId="2DBF2EB5" w14:textId="77777777" w:rsidTr="00E976BD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E48F86" w14:textId="77777777" w:rsidR="00325E15" w:rsidRPr="00BE3FEA" w:rsidRDefault="00325E15" w:rsidP="00E9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62E4AA" w14:textId="77777777" w:rsidR="00325E15" w:rsidRPr="00BE3FEA" w:rsidRDefault="00325E15" w:rsidP="00E976BD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BE3FE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EB378E" w14:textId="77777777" w:rsidR="00325E15" w:rsidRPr="00BE3FEA" w:rsidRDefault="00325E15" w:rsidP="00E976BD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325E15" w:rsidRPr="00BE3FEA" w14:paraId="2E83F4ED" w14:textId="77777777" w:rsidTr="00E976BD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6FB3CB" w14:textId="77777777" w:rsidR="00325E15" w:rsidRPr="00BE3FEA" w:rsidRDefault="00325E15" w:rsidP="00E9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5124A6" w14:textId="77777777" w:rsidR="00325E15" w:rsidRPr="00BE3FEA" w:rsidRDefault="00325E15" w:rsidP="00E976BD">
            <w:pPr>
              <w:spacing w:before="31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FE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N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5F7CD19" w14:textId="77777777" w:rsidR="00325E15" w:rsidRPr="00BE3FEA" w:rsidRDefault="00325E15" w:rsidP="00E976BD">
            <w:pPr>
              <w:spacing w:before="31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325E15" w:rsidRPr="00BE3FEA" w14:paraId="0BB75092" w14:textId="77777777" w:rsidTr="00E976BD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7EE75" w14:textId="77777777" w:rsidR="00325E15" w:rsidRPr="00BE3FEA" w:rsidRDefault="00325E15" w:rsidP="00E976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63C77C" w14:textId="77777777" w:rsidR="00325E15" w:rsidRPr="00BE3FEA" w:rsidRDefault="00325E15" w:rsidP="00E976BD">
            <w:pPr>
              <w:spacing w:before="29" w:after="200" w:line="276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FE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E3FE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BE3F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E8B6BD" w14:textId="406B9974" w:rsidR="00325E15" w:rsidRPr="00BE3FEA" w:rsidRDefault="00BE3FEA" w:rsidP="00E976BD">
            <w:pPr>
              <w:spacing w:before="29" w:after="200" w:line="276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5E15" w:rsidRPr="00B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F96476D" w14:textId="77777777" w:rsidR="00BE3FEA" w:rsidRDefault="00BE3FEA" w:rsidP="00B24EE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6799914"/>
    </w:p>
    <w:bookmarkEnd w:id="4"/>
    <w:p w14:paraId="707FC372" w14:textId="27F7BBF4" w:rsidR="007139BE" w:rsidRPr="00BE3FEA" w:rsidRDefault="00BE3FEA" w:rsidP="00B24EE7">
      <w:pPr>
        <w:ind w:left="360"/>
        <w:rPr>
          <w:rFonts w:ascii="Times New Roman" w:hAnsi="Times New Roman" w:cs="Times New Roman"/>
          <w:sz w:val="24"/>
          <w:szCs w:val="24"/>
        </w:rPr>
      </w:pPr>
      <w:r w:rsidRPr="00BE3F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Düzeltici önleyici faaliyet formu doldurulur. Kalite Yönetim Birimi tarafından değerlendirilerek Kalite Yönetim Direktörünün onayı ile kabulü yapılır. DÖF takip sorumlusu/ bölüm kalite sorumlusuna sevk edilir. Düzeltici ve önleyici faaliyet takip formuna kaydı yapılarak, takip edilir.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DÖF Takip Sorumlusu/Bölüm Kalite Sorumlusu tarafından faaliyetler planlanır, faaliyeti gerçekleştirecek kişilere imza karşılığı tebliğ edilir. Faaliyetlerin takibi DÖF Takip Sorumlusu/Bölüm Kalite Sorumlusu tarafından yapılır ve faaliyetin tamamlanıp tamamlanmadığı doğrulanır. Daha sonra Kalite Yönetim Direktörü tarafından DÖF sahibi bilgilendirilerek DÖF sonlandırılır. Eğer yetersiz görülürse çalışma tekrarlanır.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Faaliyetin, kararlaştırılan sürede tamamlanıp tamamlanmadığı, Kalite Yönetimi Bölümü tarafından takip edilir Bölüm sorumluları uygunsuzlukların tekrarını önlemek için tedbir almaktan, yapılan faaliyetleri izlemek ve sonuçlandırmaktan sorumludurlar.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Herhangi bir nedenle kapatılamayan ya da uygun sonuç alınamayan Düzeltici ve Önleyici Faaliyetler, Kalite Yönetim Birimi tarafından raporlanarak yönetime bildirilir, Bölüm Kalite Sorumluları ile yapılan toplantıda ele alınır. </w:t>
      </w:r>
      <w:r w:rsidR="00325E15" w:rsidRPr="00BE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E3F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4EE7" w:rsidRPr="00BE3FE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4EE7" w:rsidRPr="00BE3FEA">
        <w:rPr>
          <w:rFonts w:ascii="Times New Roman" w:hAnsi="Times New Roman" w:cs="Times New Roman"/>
          <w:sz w:val="24"/>
          <w:szCs w:val="24"/>
        </w:rPr>
        <w:t xml:space="preserve"> Kalite Yönetimi Direktörü, gerekçesini yazarak, bu prosedür detayında tanımlanan özellikleri ve aşamaları içermeyen talep formlarını, gerekçesini forma özetleyerek işleme almayabilir. Bu durumda </w:t>
      </w:r>
      <w:proofErr w:type="spellStart"/>
      <w:r w:rsidR="00B24EE7" w:rsidRPr="00BE3FE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B24EE7" w:rsidRPr="00BE3FEA">
        <w:rPr>
          <w:rFonts w:ascii="Times New Roman" w:hAnsi="Times New Roman" w:cs="Times New Roman"/>
          <w:sz w:val="24"/>
          <w:szCs w:val="24"/>
        </w:rPr>
        <w:t xml:space="preserve"> gerekçesini, DÖF Formuna yazarak, DÖF takip formuna kaydı yapılır.</w:t>
      </w:r>
    </w:p>
    <w:sectPr w:rsidR="007139BE" w:rsidRPr="00BE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5856" w14:textId="77777777" w:rsidR="00F152F6" w:rsidRDefault="00F152F6" w:rsidP="00325E15">
      <w:pPr>
        <w:spacing w:after="0" w:line="240" w:lineRule="auto"/>
      </w:pPr>
      <w:r>
        <w:separator/>
      </w:r>
    </w:p>
  </w:endnote>
  <w:endnote w:type="continuationSeparator" w:id="0">
    <w:p w14:paraId="599D1BD9" w14:textId="77777777" w:rsidR="00F152F6" w:rsidRDefault="00F152F6" w:rsidP="003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52BC" w14:textId="77777777" w:rsidR="00B16BD7" w:rsidRDefault="00B16B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4507" w14:textId="77777777" w:rsidR="00325E15" w:rsidRDefault="00325E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2C64" w14:textId="77777777" w:rsidR="00B16BD7" w:rsidRDefault="00B16B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8AEC" w14:textId="77777777" w:rsidR="00F152F6" w:rsidRDefault="00F152F6" w:rsidP="00325E15">
      <w:pPr>
        <w:spacing w:after="0" w:line="240" w:lineRule="auto"/>
      </w:pPr>
      <w:r>
        <w:separator/>
      </w:r>
    </w:p>
  </w:footnote>
  <w:footnote w:type="continuationSeparator" w:id="0">
    <w:p w14:paraId="19842AF9" w14:textId="77777777" w:rsidR="00F152F6" w:rsidRDefault="00F152F6" w:rsidP="0032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671" w14:textId="77777777" w:rsidR="00B16BD7" w:rsidRDefault="00B16B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160C" w14:textId="77777777" w:rsidR="00B16BD7" w:rsidRDefault="00B16B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9B37" w14:textId="77777777" w:rsidR="00B16BD7" w:rsidRDefault="00B16B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D1F"/>
    <w:multiLevelType w:val="hybridMultilevel"/>
    <w:tmpl w:val="69F09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5D"/>
    <w:rsid w:val="000348ED"/>
    <w:rsid w:val="00325E15"/>
    <w:rsid w:val="007139BE"/>
    <w:rsid w:val="00780E5D"/>
    <w:rsid w:val="008A3E73"/>
    <w:rsid w:val="00B16BD7"/>
    <w:rsid w:val="00B24EE7"/>
    <w:rsid w:val="00BE3FEA"/>
    <w:rsid w:val="00F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EBF"/>
  <w15:chartTrackingRefBased/>
  <w15:docId w15:val="{E4AFCBC2-A4A7-420C-9CD2-988A2C45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E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15"/>
  </w:style>
  <w:style w:type="paragraph" w:styleId="AltBilgi">
    <w:name w:val="footer"/>
    <w:basedOn w:val="Normal"/>
    <w:link w:val="AltBilgiChar"/>
    <w:uiPriority w:val="99"/>
    <w:unhideWhenUsed/>
    <w:rsid w:val="0032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15"/>
  </w:style>
  <w:style w:type="table" w:styleId="TabloKlavuzu">
    <w:name w:val="Table Grid"/>
    <w:basedOn w:val="NormalTablo"/>
    <w:uiPriority w:val="39"/>
    <w:rsid w:val="0032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</cp:revision>
  <dcterms:created xsi:type="dcterms:W3CDTF">2022-02-26T17:04:00Z</dcterms:created>
  <dcterms:modified xsi:type="dcterms:W3CDTF">2022-03-07T18:04:00Z</dcterms:modified>
</cp:coreProperties>
</file>