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-82"/>
        <w:tblW w:w="555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0"/>
        <w:gridCol w:w="1525"/>
        <w:gridCol w:w="1204"/>
      </w:tblGrid>
      <w:tr w:rsidR="003A0BEB" w:rsidRPr="003A0BEB" w14:paraId="7F005641" w14:textId="77777777" w:rsidTr="003A0BEB">
        <w:trPr>
          <w:trHeight w:hRule="exact" w:val="456"/>
        </w:trPr>
        <w:tc>
          <w:tcPr>
            <w:tcW w:w="364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1B121" w14:textId="38BFE14A" w:rsidR="003A0BEB" w:rsidRPr="003A0BEB" w:rsidRDefault="003A0BEB" w:rsidP="003A0BEB">
            <w:pPr>
              <w:spacing w:before="9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6345503"/>
            <w:bookmarkStart w:id="1" w:name="_Hlk94044883"/>
            <w:bookmarkStart w:id="2" w:name="_Hlk96543863"/>
            <w:r w:rsidRPr="003A0BE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D808F98" wp14:editId="71E9FDF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C52304" w14:textId="64AE1B8B" w:rsidR="003A0BEB" w:rsidRPr="003A0BEB" w:rsidRDefault="003A0BEB" w:rsidP="003A0BEB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4ADD3D19" w14:textId="06637E17" w:rsidR="003A0BEB" w:rsidRPr="003A0BEB" w:rsidRDefault="003A0BEB" w:rsidP="003A0BEB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247DD076" w14:textId="77777777" w:rsidR="003A0BEB" w:rsidRPr="003A0BEB" w:rsidRDefault="003A0BEB" w:rsidP="003A0BEB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B2F352" w14:textId="7D95536B" w:rsidR="003A0BEB" w:rsidRPr="003A0BEB" w:rsidRDefault="003A0BEB" w:rsidP="003A0B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ış</w:t>
            </w:r>
            <w:proofErr w:type="spellEnd"/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aynak</w:t>
            </w:r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ullanımı</w:t>
            </w:r>
            <w:proofErr w:type="spellEnd"/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rosedürü</w:t>
            </w:r>
            <w:proofErr w:type="spellEnd"/>
          </w:p>
          <w:p w14:paraId="312D49F6" w14:textId="77777777" w:rsidR="003A0BEB" w:rsidRPr="003A0BEB" w:rsidRDefault="003A0BEB" w:rsidP="003A0BEB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B2C8C" w14:textId="77777777" w:rsidR="003A0BEB" w:rsidRPr="003A0BEB" w:rsidRDefault="003A0BEB" w:rsidP="003A0BEB">
            <w:pPr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D68C9F4" w14:textId="77777777" w:rsidR="003A0BEB" w:rsidRPr="003C09C9" w:rsidRDefault="003A0BEB" w:rsidP="003A0BEB">
            <w:pPr>
              <w:spacing w:before="29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9C9">
              <w:rPr>
                <w:rFonts w:ascii="Times New Roman" w:hAnsi="Times New Roman" w:cs="Times New Roman"/>
              </w:rPr>
              <w:t>Do</w:t>
            </w:r>
            <w:r w:rsidRPr="003C09C9">
              <w:rPr>
                <w:rFonts w:ascii="Times New Roman" w:hAnsi="Times New Roman" w:cs="Times New Roman"/>
                <w:spacing w:val="-4"/>
              </w:rPr>
              <w:t>k</w:t>
            </w:r>
            <w:r w:rsidRPr="003C09C9">
              <w:rPr>
                <w:rFonts w:ascii="Times New Roman" w:hAnsi="Times New Roman" w:cs="Times New Roman"/>
                <w:spacing w:val="4"/>
              </w:rPr>
              <w:t>ü</w:t>
            </w:r>
            <w:r w:rsidRPr="003C09C9">
              <w:rPr>
                <w:rFonts w:ascii="Times New Roman" w:hAnsi="Times New Roman" w:cs="Times New Roman"/>
                <w:spacing w:val="-4"/>
              </w:rPr>
              <w:t>m</w:t>
            </w:r>
            <w:r w:rsidRPr="003C09C9">
              <w:rPr>
                <w:rFonts w:ascii="Times New Roman" w:hAnsi="Times New Roman" w:cs="Times New Roman"/>
              </w:rPr>
              <w:t>an</w:t>
            </w:r>
            <w:proofErr w:type="spellEnd"/>
            <w:r w:rsidRPr="003C09C9">
              <w:rPr>
                <w:rFonts w:ascii="Times New Roman" w:hAnsi="Times New Roman" w:cs="Times New Roman"/>
              </w:rPr>
              <w:t xml:space="preserve"> N</w:t>
            </w:r>
            <w:r w:rsidRPr="003C09C9">
              <w:rPr>
                <w:rFonts w:ascii="Times New Roman" w:hAnsi="Times New Roman" w:cs="Times New Roman"/>
                <w:spacing w:val="-2"/>
              </w:rPr>
              <w:t>o</w:t>
            </w:r>
            <w:r w:rsidRPr="003C0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8188057" w14:textId="510C604F" w:rsidR="003A0BEB" w:rsidRPr="003C09C9" w:rsidRDefault="00FE51DB" w:rsidP="003A0BEB">
            <w:pPr>
              <w:spacing w:befor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A0BEB" w:rsidRPr="003C09C9">
              <w:rPr>
                <w:rFonts w:ascii="Times New Roman" w:hAnsi="Times New Roman" w:cs="Times New Roman"/>
              </w:rPr>
              <w:t>D</w:t>
            </w:r>
            <w:r w:rsidR="002C70F0">
              <w:rPr>
                <w:rFonts w:ascii="Times New Roman" w:hAnsi="Times New Roman" w:cs="Times New Roman"/>
              </w:rPr>
              <w:t>K</w:t>
            </w:r>
            <w:r w:rsidR="003A0BEB" w:rsidRPr="003C09C9">
              <w:rPr>
                <w:rFonts w:ascii="Times New Roman" w:hAnsi="Times New Roman" w:cs="Times New Roman"/>
              </w:rPr>
              <w:t>.PR.0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A0BEB" w:rsidRPr="003A0BEB" w14:paraId="1CE11FC2" w14:textId="77777777" w:rsidTr="003A0BEB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F9F4D9" w14:textId="77777777" w:rsidR="003A0BEB" w:rsidRPr="003A0BEB" w:rsidRDefault="003A0BEB" w:rsidP="003A0BE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32FEC6" w14:textId="77777777" w:rsidR="003A0BEB" w:rsidRPr="003C09C9" w:rsidRDefault="003A0BEB" w:rsidP="003A0BEB">
            <w:pPr>
              <w:spacing w:before="31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9C9">
              <w:rPr>
                <w:rFonts w:ascii="Times New Roman" w:hAnsi="Times New Roman" w:cs="Times New Roman"/>
              </w:rPr>
              <w:t>Ya</w:t>
            </w:r>
            <w:r w:rsidRPr="003C09C9">
              <w:rPr>
                <w:rFonts w:ascii="Times New Roman" w:hAnsi="Times New Roman" w:cs="Times New Roman"/>
                <w:spacing w:val="-2"/>
              </w:rPr>
              <w:t>y</w:t>
            </w:r>
            <w:r w:rsidRPr="003C09C9">
              <w:rPr>
                <w:rFonts w:ascii="Times New Roman" w:hAnsi="Times New Roman" w:cs="Times New Roman"/>
              </w:rPr>
              <w:t>ın</w:t>
            </w:r>
            <w:proofErr w:type="spellEnd"/>
            <w:r w:rsidRPr="003C0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9C9">
              <w:rPr>
                <w:rFonts w:ascii="Times New Roman" w:hAnsi="Times New Roman" w:cs="Times New Roman"/>
                <w:spacing w:val="2"/>
              </w:rPr>
              <w:t>T</w:t>
            </w:r>
            <w:r w:rsidRPr="003C09C9">
              <w:rPr>
                <w:rFonts w:ascii="Times New Roman" w:hAnsi="Times New Roman" w:cs="Times New Roman"/>
              </w:rPr>
              <w:t>ar</w:t>
            </w:r>
            <w:r w:rsidRPr="003C09C9">
              <w:rPr>
                <w:rFonts w:ascii="Times New Roman" w:hAnsi="Times New Roman" w:cs="Times New Roman"/>
                <w:spacing w:val="-2"/>
              </w:rPr>
              <w:t>i</w:t>
            </w:r>
            <w:r w:rsidRPr="003C09C9">
              <w:rPr>
                <w:rFonts w:ascii="Times New Roman" w:hAnsi="Times New Roman" w:cs="Times New Roman"/>
              </w:rPr>
              <w:t>hi</w:t>
            </w:r>
            <w:proofErr w:type="spellEnd"/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64D8E2" w14:textId="1A907C39" w:rsidR="003A0BEB" w:rsidRPr="003C09C9" w:rsidRDefault="00FE51DB" w:rsidP="003A0BEB">
            <w:pPr>
              <w:spacing w:befor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19.12.2019</w:t>
            </w:r>
          </w:p>
        </w:tc>
      </w:tr>
      <w:tr w:rsidR="003A0BEB" w:rsidRPr="003A0BEB" w14:paraId="4560B1C0" w14:textId="77777777" w:rsidTr="003A0BEB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8C1E29" w14:textId="77777777" w:rsidR="003A0BEB" w:rsidRPr="003A0BEB" w:rsidRDefault="003A0BEB" w:rsidP="003A0BE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16DC5B7" w14:textId="77777777" w:rsidR="003A0BEB" w:rsidRPr="003C09C9" w:rsidRDefault="003A0BEB" w:rsidP="003A0BEB">
            <w:pPr>
              <w:spacing w:before="31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9C9">
              <w:rPr>
                <w:rFonts w:ascii="Times New Roman" w:hAnsi="Times New Roman" w:cs="Times New Roman"/>
                <w:spacing w:val="-1"/>
              </w:rPr>
              <w:t>R</w:t>
            </w:r>
            <w:r w:rsidRPr="003C09C9">
              <w:rPr>
                <w:rFonts w:ascii="Times New Roman" w:hAnsi="Times New Roman" w:cs="Times New Roman"/>
                <w:spacing w:val="2"/>
              </w:rPr>
              <w:t>e</w:t>
            </w:r>
            <w:r w:rsidRPr="003C09C9">
              <w:rPr>
                <w:rFonts w:ascii="Times New Roman" w:hAnsi="Times New Roman" w:cs="Times New Roman"/>
                <w:spacing w:val="-2"/>
              </w:rPr>
              <w:t>v</w:t>
            </w:r>
            <w:r w:rsidRPr="003C09C9">
              <w:rPr>
                <w:rFonts w:ascii="Times New Roman" w:hAnsi="Times New Roman" w:cs="Times New Roman"/>
              </w:rPr>
              <w:t>i</w:t>
            </w:r>
            <w:r w:rsidRPr="003C09C9">
              <w:rPr>
                <w:rFonts w:ascii="Times New Roman" w:hAnsi="Times New Roman" w:cs="Times New Roman"/>
                <w:spacing w:val="2"/>
              </w:rPr>
              <w:t>z</w:t>
            </w:r>
            <w:r w:rsidRPr="003C09C9">
              <w:rPr>
                <w:rFonts w:ascii="Times New Roman" w:hAnsi="Times New Roman" w:cs="Times New Roman"/>
                <w:spacing w:val="-2"/>
              </w:rPr>
              <w:t>y</w:t>
            </w:r>
            <w:r w:rsidRPr="003C09C9">
              <w:rPr>
                <w:rFonts w:ascii="Times New Roman" w:hAnsi="Times New Roman" w:cs="Times New Roman"/>
              </w:rPr>
              <w:t>on</w:t>
            </w:r>
            <w:proofErr w:type="spellEnd"/>
            <w:r w:rsidRPr="003C0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9C9">
              <w:rPr>
                <w:rFonts w:ascii="Times New Roman" w:hAnsi="Times New Roman" w:cs="Times New Roman"/>
                <w:spacing w:val="2"/>
              </w:rPr>
              <w:t>T</w:t>
            </w:r>
            <w:r w:rsidRPr="003C09C9">
              <w:rPr>
                <w:rFonts w:ascii="Times New Roman" w:hAnsi="Times New Roman" w:cs="Times New Roman"/>
                <w:spacing w:val="-3"/>
              </w:rPr>
              <w:t>a</w:t>
            </w:r>
            <w:r w:rsidRPr="003C09C9">
              <w:rPr>
                <w:rFonts w:ascii="Times New Roman" w:hAnsi="Times New Roman" w:cs="Times New Roman"/>
                <w:spacing w:val="2"/>
              </w:rPr>
              <w:t>r</w:t>
            </w:r>
            <w:r w:rsidRPr="003C09C9">
              <w:rPr>
                <w:rFonts w:ascii="Times New Roman" w:hAnsi="Times New Roman" w:cs="Times New Roman"/>
              </w:rPr>
              <w:t>i</w:t>
            </w:r>
            <w:r w:rsidRPr="003C09C9">
              <w:rPr>
                <w:rFonts w:ascii="Times New Roman" w:hAnsi="Times New Roman" w:cs="Times New Roman"/>
                <w:spacing w:val="-2"/>
              </w:rPr>
              <w:t>h</w:t>
            </w:r>
            <w:r w:rsidRPr="003C09C9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B46C782" w14:textId="711DB733" w:rsidR="003A0BEB" w:rsidRPr="003C09C9" w:rsidRDefault="003A0BEB" w:rsidP="003A0BEB">
            <w:pPr>
              <w:spacing w:before="31"/>
              <w:jc w:val="both"/>
              <w:rPr>
                <w:rFonts w:ascii="Times New Roman" w:hAnsi="Times New Roman" w:cs="Times New Roman"/>
              </w:rPr>
            </w:pPr>
            <w:r w:rsidRPr="003C09C9">
              <w:rPr>
                <w:rFonts w:ascii="Times New Roman" w:hAnsi="Times New Roman" w:cs="Times New Roman"/>
              </w:rPr>
              <w:t xml:space="preserve"> </w:t>
            </w:r>
            <w:r w:rsidR="00FE51DB">
              <w:rPr>
                <w:rFonts w:ascii="Times New Roman" w:hAnsi="Times New Roman" w:cs="Times New Roman"/>
              </w:rPr>
              <w:t>24.02.2022</w:t>
            </w:r>
          </w:p>
        </w:tc>
      </w:tr>
      <w:tr w:rsidR="003A0BEB" w:rsidRPr="003A0BEB" w14:paraId="63845EA8" w14:textId="77777777" w:rsidTr="003A0BEB">
        <w:trPr>
          <w:trHeight w:hRule="exact" w:val="32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8FDF54" w14:textId="77777777" w:rsidR="003A0BEB" w:rsidRPr="003A0BEB" w:rsidRDefault="003A0BEB" w:rsidP="003A0BE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F77656C" w14:textId="77777777" w:rsidR="003A0BEB" w:rsidRPr="003C09C9" w:rsidRDefault="003A0BEB" w:rsidP="003A0BEB">
            <w:pPr>
              <w:spacing w:before="31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9C9">
              <w:rPr>
                <w:rFonts w:ascii="Times New Roman" w:hAnsi="Times New Roman" w:cs="Times New Roman"/>
                <w:spacing w:val="-1"/>
              </w:rPr>
              <w:t>R</w:t>
            </w:r>
            <w:r w:rsidRPr="003C09C9">
              <w:rPr>
                <w:rFonts w:ascii="Times New Roman" w:hAnsi="Times New Roman" w:cs="Times New Roman"/>
                <w:spacing w:val="2"/>
              </w:rPr>
              <w:t>e</w:t>
            </w:r>
            <w:r w:rsidRPr="003C09C9">
              <w:rPr>
                <w:rFonts w:ascii="Times New Roman" w:hAnsi="Times New Roman" w:cs="Times New Roman"/>
                <w:spacing w:val="-2"/>
              </w:rPr>
              <w:t>v</w:t>
            </w:r>
            <w:r w:rsidRPr="003C09C9">
              <w:rPr>
                <w:rFonts w:ascii="Times New Roman" w:hAnsi="Times New Roman" w:cs="Times New Roman"/>
              </w:rPr>
              <w:t>i</w:t>
            </w:r>
            <w:r w:rsidRPr="003C09C9">
              <w:rPr>
                <w:rFonts w:ascii="Times New Roman" w:hAnsi="Times New Roman" w:cs="Times New Roman"/>
                <w:spacing w:val="2"/>
              </w:rPr>
              <w:t>z</w:t>
            </w:r>
            <w:r w:rsidRPr="003C09C9">
              <w:rPr>
                <w:rFonts w:ascii="Times New Roman" w:hAnsi="Times New Roman" w:cs="Times New Roman"/>
                <w:spacing w:val="-2"/>
              </w:rPr>
              <w:t>y</w:t>
            </w:r>
            <w:r w:rsidRPr="003C09C9">
              <w:rPr>
                <w:rFonts w:ascii="Times New Roman" w:hAnsi="Times New Roman" w:cs="Times New Roman"/>
              </w:rPr>
              <w:t>on</w:t>
            </w:r>
            <w:proofErr w:type="spellEnd"/>
            <w:r w:rsidRPr="003C09C9">
              <w:rPr>
                <w:rFonts w:ascii="Times New Roman" w:hAnsi="Times New Roman" w:cs="Times New Roman"/>
              </w:rPr>
              <w:t xml:space="preserve"> </w:t>
            </w:r>
            <w:r w:rsidRPr="003C09C9">
              <w:rPr>
                <w:rFonts w:ascii="Times New Roman" w:hAnsi="Times New Roman" w:cs="Times New Roman"/>
                <w:spacing w:val="-3"/>
              </w:rPr>
              <w:t>N</w:t>
            </w:r>
            <w:r w:rsidRPr="003C09C9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7A93C8" w14:textId="24F3F3A0" w:rsidR="003A0BEB" w:rsidRPr="003C09C9" w:rsidRDefault="003A0BEB" w:rsidP="003A0BEB">
            <w:pPr>
              <w:spacing w:before="31"/>
              <w:jc w:val="both"/>
              <w:rPr>
                <w:rFonts w:ascii="Times New Roman" w:hAnsi="Times New Roman" w:cs="Times New Roman"/>
              </w:rPr>
            </w:pPr>
            <w:r w:rsidRPr="003C09C9">
              <w:rPr>
                <w:rFonts w:ascii="Times New Roman" w:hAnsi="Times New Roman" w:cs="Times New Roman"/>
              </w:rPr>
              <w:t xml:space="preserve"> </w:t>
            </w:r>
            <w:r w:rsidR="00FE51DB">
              <w:rPr>
                <w:rFonts w:ascii="Times New Roman" w:hAnsi="Times New Roman" w:cs="Times New Roman"/>
              </w:rPr>
              <w:t>1</w:t>
            </w:r>
          </w:p>
        </w:tc>
      </w:tr>
      <w:tr w:rsidR="003A0BEB" w:rsidRPr="003A0BEB" w14:paraId="44B6EF9B" w14:textId="77777777" w:rsidTr="003A0BEB">
        <w:trPr>
          <w:trHeight w:hRule="exact"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8304EBC" w14:textId="77777777" w:rsidR="003A0BEB" w:rsidRPr="003A0BEB" w:rsidRDefault="003A0BEB" w:rsidP="003A0BE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0497E3B" w14:textId="77777777" w:rsidR="003A0BEB" w:rsidRPr="003C09C9" w:rsidRDefault="003A0BEB" w:rsidP="003A0BEB">
            <w:pPr>
              <w:spacing w:before="29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9C9">
              <w:rPr>
                <w:rFonts w:ascii="Times New Roman" w:hAnsi="Times New Roman" w:cs="Times New Roman"/>
                <w:spacing w:val="-1"/>
              </w:rPr>
              <w:t>S</w:t>
            </w:r>
            <w:r w:rsidRPr="003C09C9">
              <w:rPr>
                <w:rFonts w:ascii="Times New Roman" w:hAnsi="Times New Roman" w:cs="Times New Roman"/>
                <w:spacing w:val="2"/>
              </w:rPr>
              <w:t>a</w:t>
            </w:r>
            <w:r w:rsidRPr="003C09C9">
              <w:rPr>
                <w:rFonts w:ascii="Times New Roman" w:hAnsi="Times New Roman" w:cs="Times New Roman"/>
                <w:spacing w:val="-2"/>
              </w:rPr>
              <w:t>y</w:t>
            </w:r>
            <w:r w:rsidRPr="003C09C9">
              <w:rPr>
                <w:rFonts w:ascii="Times New Roman" w:hAnsi="Times New Roman" w:cs="Times New Roman"/>
                <w:spacing w:val="2"/>
              </w:rPr>
              <w:t>f</w:t>
            </w:r>
            <w:r w:rsidRPr="003C09C9">
              <w:rPr>
                <w:rFonts w:ascii="Times New Roman" w:hAnsi="Times New Roman" w:cs="Times New Roman"/>
              </w:rPr>
              <w:t>a</w:t>
            </w:r>
            <w:proofErr w:type="spellEnd"/>
            <w:r w:rsidRPr="003C09C9">
              <w:rPr>
                <w:rFonts w:ascii="Times New Roman" w:hAnsi="Times New Roman" w:cs="Times New Roman"/>
              </w:rPr>
              <w:t xml:space="preserve"> N</w:t>
            </w:r>
            <w:r w:rsidRPr="003C09C9">
              <w:rPr>
                <w:rFonts w:ascii="Times New Roman" w:hAnsi="Times New Roman" w:cs="Times New Roman"/>
                <w:spacing w:val="-2"/>
              </w:rPr>
              <w:t>o</w:t>
            </w:r>
            <w:r w:rsidRPr="003C0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7C618B" w14:textId="5C58F18D" w:rsidR="003A0BEB" w:rsidRPr="003C09C9" w:rsidRDefault="003A0BEB" w:rsidP="003A0BEB">
            <w:pPr>
              <w:spacing w:before="29"/>
              <w:ind w:left="102"/>
              <w:jc w:val="both"/>
              <w:rPr>
                <w:rFonts w:ascii="Times New Roman" w:hAnsi="Times New Roman" w:cs="Times New Roman"/>
              </w:rPr>
            </w:pPr>
            <w:r w:rsidRPr="003C09C9">
              <w:rPr>
                <w:rFonts w:ascii="Times New Roman" w:hAnsi="Times New Roman" w:cs="Times New Roman"/>
              </w:rPr>
              <w:t>1/</w:t>
            </w:r>
            <w:r w:rsidR="003C09C9" w:rsidRPr="003C09C9">
              <w:rPr>
                <w:rFonts w:ascii="Times New Roman" w:hAnsi="Times New Roman" w:cs="Times New Roman"/>
              </w:rPr>
              <w:t>2</w:t>
            </w:r>
          </w:p>
        </w:tc>
        <w:bookmarkEnd w:id="0"/>
        <w:bookmarkEnd w:id="1"/>
      </w:tr>
      <w:bookmarkEnd w:id="2"/>
    </w:tbl>
    <w:p w14:paraId="596E3E87" w14:textId="65428229" w:rsidR="007139BE" w:rsidRPr="003A0BEB" w:rsidRDefault="007139BE" w:rsidP="003A0B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2832D" w14:textId="77777777" w:rsidR="003A0BEB" w:rsidRPr="003A0BEB" w:rsidRDefault="003A0BEB" w:rsidP="003A0B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BEB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14:paraId="73550CAF" w14:textId="592A0CB2" w:rsidR="003A0BEB" w:rsidRDefault="003A0BEB" w:rsidP="003A0BEB">
      <w:pPr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Kurumumuzda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sunma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yükümlülüğü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fakültemiz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imknları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sunumunun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mümkün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olmadığı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durumlarda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tedarikçiler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getirilen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süreçlerinin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süreçler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yandan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sunduğumuz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hizmetlerinin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kalitesinin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yükseltilmesini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sağlamak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alınmaktadır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>.</w:t>
      </w:r>
    </w:p>
    <w:p w14:paraId="129A720C" w14:textId="77777777" w:rsidR="003A0BEB" w:rsidRPr="003A0BEB" w:rsidRDefault="003A0BEB" w:rsidP="003A0B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BEB">
        <w:rPr>
          <w:rFonts w:ascii="Times New Roman" w:hAnsi="Times New Roman" w:cs="Times New Roman"/>
          <w:b/>
          <w:bCs/>
          <w:sz w:val="24"/>
          <w:szCs w:val="24"/>
        </w:rPr>
        <w:t xml:space="preserve"> 2.KAPSAM</w:t>
      </w:r>
    </w:p>
    <w:p w14:paraId="48E603D1" w14:textId="7D7F2705" w:rsidR="003A0BEB" w:rsidRDefault="003A0BEB" w:rsidP="003A0BEB">
      <w:pPr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Tedarikçiler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sunulan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protez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laboratuvarı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, HBYS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alımını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bakım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onarım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süreçlerini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kapsar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8A629" w14:textId="77777777" w:rsidR="003A0BEB" w:rsidRPr="003A0BEB" w:rsidRDefault="003A0BEB" w:rsidP="003A0B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BEB">
        <w:rPr>
          <w:rFonts w:ascii="Times New Roman" w:hAnsi="Times New Roman" w:cs="Times New Roman"/>
          <w:b/>
          <w:bCs/>
          <w:sz w:val="24"/>
          <w:szCs w:val="24"/>
        </w:rPr>
        <w:t xml:space="preserve">3.KISALTMALAR </w:t>
      </w:r>
    </w:p>
    <w:p w14:paraId="59DE8EA5" w14:textId="77777777" w:rsidR="003A0BEB" w:rsidRDefault="003A0BEB" w:rsidP="003A0BEB">
      <w:pPr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b/>
          <w:bCs/>
          <w:sz w:val="24"/>
          <w:szCs w:val="24"/>
        </w:rPr>
        <w:t>HBYS:</w:t>
      </w:r>
      <w:r w:rsidRPr="003A0BEB">
        <w:rPr>
          <w:rFonts w:ascii="Times New Roman" w:hAnsi="Times New Roman" w:cs="Times New Roman"/>
          <w:sz w:val="24"/>
          <w:szCs w:val="24"/>
        </w:rPr>
        <w:t xml:space="preserve"> Bilgi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C6F11" w14:textId="77777777" w:rsidR="003A0BEB" w:rsidRPr="003A0BEB" w:rsidRDefault="003A0BEB" w:rsidP="003A0B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0BEB">
        <w:rPr>
          <w:rFonts w:ascii="Times New Roman" w:hAnsi="Times New Roman" w:cs="Times New Roman"/>
          <w:b/>
          <w:bCs/>
          <w:sz w:val="24"/>
          <w:szCs w:val="24"/>
        </w:rPr>
        <w:t>4. TANIMLAR</w:t>
      </w:r>
    </w:p>
    <w:p w14:paraId="17A1ECEA" w14:textId="77777777" w:rsidR="003A0BEB" w:rsidRDefault="003A0BEB" w:rsidP="003A0BEB">
      <w:pPr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b/>
          <w:bCs/>
          <w:sz w:val="24"/>
          <w:szCs w:val="24"/>
        </w:rPr>
        <w:t>Dış</w:t>
      </w:r>
      <w:proofErr w:type="spellEnd"/>
      <w:r w:rsidRPr="003A0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b/>
          <w:bCs/>
          <w:sz w:val="24"/>
          <w:szCs w:val="24"/>
        </w:rPr>
        <w:t>kaynak</w:t>
      </w:r>
      <w:proofErr w:type="spellEnd"/>
      <w:r w:rsidRPr="003A0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A0BEB">
        <w:rPr>
          <w:rFonts w:ascii="Times New Roman" w:hAnsi="Times New Roman" w:cs="Times New Roman"/>
          <w:b/>
          <w:bCs/>
          <w:sz w:val="24"/>
          <w:szCs w:val="24"/>
        </w:rPr>
        <w:t>kullanımı</w:t>
      </w:r>
      <w:proofErr w:type="spellEnd"/>
      <w:r w:rsidRPr="003A0BE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3A0BEB">
        <w:rPr>
          <w:rFonts w:ascii="Times New Roman" w:hAnsi="Times New Roman" w:cs="Times New Roman"/>
          <w:b/>
          <w:bCs/>
          <w:sz w:val="24"/>
          <w:szCs w:val="24"/>
        </w:rPr>
        <w:t xml:space="preserve">DKK):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hizmeti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veren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kuruluşun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bazı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hizmetlerinin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dışındaki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kuruluştan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sağlanması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yöntemidir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>.</w:t>
      </w:r>
    </w:p>
    <w:p w14:paraId="77DA16D7" w14:textId="77777777" w:rsidR="003A0BEB" w:rsidRDefault="003A0BEB" w:rsidP="003A0BEB">
      <w:pPr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b/>
          <w:bCs/>
          <w:sz w:val="24"/>
          <w:szCs w:val="24"/>
        </w:rPr>
        <w:t xml:space="preserve"> 5.SORUMLULAR</w:t>
      </w:r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508F9" w14:textId="353FA467" w:rsidR="003A0BEB" w:rsidRDefault="003A0BEB" w:rsidP="003A0BEB">
      <w:pPr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prosedürün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uygulanmasından</w:t>
      </w:r>
      <w:proofErr w:type="spellEnd"/>
      <w:r w:rsidR="002C7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0F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2C70F0">
        <w:rPr>
          <w:rFonts w:ascii="Times New Roman" w:hAnsi="Times New Roman" w:cs="Times New Roman"/>
          <w:sz w:val="24"/>
          <w:szCs w:val="24"/>
        </w:rPr>
        <w:t>,</w:t>
      </w:r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Fakülte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Sekreteri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Müdürü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Satın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personeli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sorumludur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>.</w:t>
      </w:r>
    </w:p>
    <w:p w14:paraId="43DFF33C" w14:textId="77777777" w:rsidR="003A0BEB" w:rsidRDefault="003A0BEB" w:rsidP="003A0BEB">
      <w:pPr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b/>
          <w:bCs/>
          <w:sz w:val="24"/>
          <w:szCs w:val="24"/>
        </w:rPr>
        <w:t xml:space="preserve"> 6.FAALİYET AKIŞI</w:t>
      </w:r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D4EF9" w14:textId="67D8A624" w:rsidR="002A5D2D" w:rsidRPr="00925B24" w:rsidRDefault="003A0BEB" w:rsidP="00925B24">
      <w:pPr>
        <w:jc w:val="both"/>
        <w:rPr>
          <w:rFonts w:ascii="Times New Roman" w:hAnsi="Times New Roman" w:cs="Times New Roman"/>
          <w:sz w:val="24"/>
          <w:szCs w:val="24"/>
        </w:rPr>
      </w:pPr>
      <w:r w:rsidRPr="003A0BEB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Hangi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süreçlerin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hale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getirileceği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kanunla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süreçlere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oluşturulur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5B24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24">
        <w:rPr>
          <w:rFonts w:ascii="Times New Roman" w:hAnsi="Times New Roman" w:cs="Times New Roman"/>
          <w:sz w:val="24"/>
          <w:szCs w:val="24"/>
        </w:rPr>
        <w:t>alımı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24">
        <w:rPr>
          <w:rFonts w:ascii="Times New Roman" w:hAnsi="Times New Roman" w:cs="Times New Roman"/>
          <w:sz w:val="24"/>
          <w:szCs w:val="24"/>
        </w:rPr>
        <w:t>ihale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24">
        <w:rPr>
          <w:rFonts w:ascii="Times New Roman" w:hAnsi="Times New Roman" w:cs="Times New Roman"/>
          <w:sz w:val="24"/>
          <w:szCs w:val="24"/>
        </w:rPr>
        <w:t>usulü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24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24">
        <w:rPr>
          <w:rFonts w:ascii="Times New Roman" w:hAnsi="Times New Roman" w:cs="Times New Roman"/>
          <w:sz w:val="24"/>
          <w:szCs w:val="24"/>
        </w:rPr>
        <w:t>doğrudan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24">
        <w:rPr>
          <w:rFonts w:ascii="Times New Roman" w:hAnsi="Times New Roman" w:cs="Times New Roman"/>
          <w:sz w:val="24"/>
          <w:szCs w:val="24"/>
        </w:rPr>
        <w:t>temin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24">
        <w:rPr>
          <w:rFonts w:ascii="Times New Roman" w:hAnsi="Times New Roman" w:cs="Times New Roman"/>
          <w:sz w:val="24"/>
          <w:szCs w:val="24"/>
        </w:rPr>
        <w:t>usulü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24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24">
        <w:rPr>
          <w:rFonts w:ascii="Times New Roman" w:hAnsi="Times New Roman" w:cs="Times New Roman"/>
          <w:sz w:val="24"/>
          <w:szCs w:val="24"/>
        </w:rPr>
        <w:t>sağlanır.</w:t>
      </w:r>
      <w:r w:rsidRPr="003A0BEB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süreçler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hale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getirilmeden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KİK(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ihale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lerde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adımlara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ihale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şekli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belirlenir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hazırlanır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Şartname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sözleşme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kurumumuza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sağlanacak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hizmetler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tamamlama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süreçleri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tanımlanır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Tedarikçinin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faaliyetleri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gerçekleştirmesi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sayısı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niteliği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kullanılacak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ekipmanlar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cihazlar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şartnamede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sözleşmede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belirlenir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. </w:t>
      </w:r>
      <w:r w:rsidRPr="003A0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5B24" w:rsidRPr="00925B24">
        <w:rPr>
          <w:rFonts w:ascii="Times New Roman" w:hAnsi="Times New Roman" w:cs="Times New Roman"/>
          <w:sz w:val="24"/>
          <w:szCs w:val="24"/>
        </w:rPr>
        <w:t>W</w:t>
      </w:r>
      <w:r w:rsidRPr="00925B24">
        <w:rPr>
          <w:rFonts w:ascii="Times New Roman" w:hAnsi="Times New Roman" w:cs="Times New Roman"/>
          <w:sz w:val="24"/>
          <w:szCs w:val="24"/>
        </w:rPr>
        <w:t xml:space="preserve">eb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sayfasında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ihale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alır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süreçlerin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kontrolü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alımı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şartnamesinde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usullerde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oluşturulan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komisyon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periyodik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kontroller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kontrollerde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referans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doküman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şartnameler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bunların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atıfta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bulunacağı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24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B24">
        <w:rPr>
          <w:rFonts w:ascii="Times New Roman" w:hAnsi="Times New Roman" w:cs="Times New Roman"/>
          <w:sz w:val="24"/>
          <w:szCs w:val="24"/>
        </w:rPr>
        <w:t>yasal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F0" w:rsidRPr="00925B24">
        <w:rPr>
          <w:rFonts w:ascii="Times New Roman" w:hAnsi="Times New Roman" w:cs="Times New Roman"/>
          <w:sz w:val="24"/>
          <w:szCs w:val="24"/>
        </w:rPr>
        <w:t>dokümanlardır</w:t>
      </w:r>
      <w:proofErr w:type="spellEnd"/>
      <w:r w:rsidR="002C70F0" w:rsidRPr="00925B24">
        <w:rPr>
          <w:rFonts w:ascii="Times New Roman" w:hAnsi="Times New Roman" w:cs="Times New Roman"/>
          <w:sz w:val="24"/>
          <w:szCs w:val="24"/>
        </w:rPr>
        <w:t>.</w:t>
      </w:r>
      <w:r w:rsidR="002C70F0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F0" w:rsidRPr="003A0BE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2C70F0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F0" w:rsidRPr="003A0BEB">
        <w:rPr>
          <w:rFonts w:ascii="Times New Roman" w:hAnsi="Times New Roman" w:cs="Times New Roman"/>
          <w:sz w:val="24"/>
          <w:szCs w:val="24"/>
        </w:rPr>
        <w:t>komisyonunca</w:t>
      </w:r>
      <w:proofErr w:type="spellEnd"/>
      <w:r w:rsidR="002C70F0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F0" w:rsidRPr="003A0BEB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="002C70F0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F0" w:rsidRPr="003A0BEB">
        <w:rPr>
          <w:rFonts w:ascii="Times New Roman" w:hAnsi="Times New Roman" w:cs="Times New Roman"/>
          <w:sz w:val="24"/>
          <w:szCs w:val="24"/>
        </w:rPr>
        <w:t>kontrollerde</w:t>
      </w:r>
      <w:proofErr w:type="spellEnd"/>
      <w:r w:rsidR="002C70F0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F0" w:rsidRPr="003A0B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C70F0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F0" w:rsidRPr="003A0BEB">
        <w:rPr>
          <w:rFonts w:ascii="Times New Roman" w:hAnsi="Times New Roman" w:cs="Times New Roman"/>
          <w:sz w:val="24"/>
          <w:szCs w:val="24"/>
        </w:rPr>
        <w:t>şartnamelere</w:t>
      </w:r>
      <w:proofErr w:type="spellEnd"/>
      <w:r w:rsidR="002C70F0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F0" w:rsidRPr="003A0BEB">
        <w:rPr>
          <w:rFonts w:ascii="Times New Roman" w:hAnsi="Times New Roman" w:cs="Times New Roman"/>
          <w:sz w:val="24"/>
          <w:szCs w:val="24"/>
        </w:rPr>
        <w:t>uygunsuzluk</w:t>
      </w:r>
      <w:proofErr w:type="spellEnd"/>
    </w:p>
    <w:tbl>
      <w:tblPr>
        <w:tblpPr w:leftFromText="141" w:rightFromText="141" w:bottomFromText="160" w:vertAnchor="text" w:horzAnchor="margin" w:tblpXSpec="center" w:tblpY="-82"/>
        <w:tblW w:w="555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2"/>
        <w:gridCol w:w="1773"/>
        <w:gridCol w:w="1204"/>
      </w:tblGrid>
      <w:tr w:rsidR="002A5D2D" w:rsidRPr="003A0BEB" w14:paraId="11493B7D" w14:textId="77777777" w:rsidTr="002C70F0">
        <w:trPr>
          <w:trHeight w:hRule="exact" w:val="456"/>
        </w:trPr>
        <w:tc>
          <w:tcPr>
            <w:tcW w:w="3519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8A1305" w14:textId="77777777" w:rsidR="002A5D2D" w:rsidRPr="003A0BEB" w:rsidRDefault="002A5D2D" w:rsidP="00A83ABB">
            <w:pPr>
              <w:spacing w:before="9" w:line="1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5277883" wp14:editId="5646FA4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086F6C" w14:textId="77777777" w:rsidR="002A5D2D" w:rsidRPr="003A0BEB" w:rsidRDefault="002A5D2D" w:rsidP="00A83ABB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70A75C72" w14:textId="77777777" w:rsidR="002A5D2D" w:rsidRPr="003A0BEB" w:rsidRDefault="002A5D2D" w:rsidP="00A83ABB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5F9275ED" w14:textId="77777777" w:rsidR="002A5D2D" w:rsidRPr="003A0BEB" w:rsidRDefault="002A5D2D" w:rsidP="00A83ABB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C2F053" w14:textId="77777777" w:rsidR="002A5D2D" w:rsidRPr="003A0BEB" w:rsidRDefault="002A5D2D" w:rsidP="00A83AB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ış</w:t>
            </w:r>
            <w:proofErr w:type="spellEnd"/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aynak</w:t>
            </w:r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ullanımı</w:t>
            </w:r>
            <w:proofErr w:type="spellEnd"/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rosedürü</w:t>
            </w:r>
            <w:proofErr w:type="spellEnd"/>
          </w:p>
          <w:p w14:paraId="218A50DC" w14:textId="77777777" w:rsidR="002A5D2D" w:rsidRPr="003A0BEB" w:rsidRDefault="002A5D2D" w:rsidP="00A83ABB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CBDF2" w14:textId="77777777" w:rsidR="002A5D2D" w:rsidRPr="003A0BEB" w:rsidRDefault="002A5D2D" w:rsidP="00A83ABB">
            <w:pPr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51FC554" w14:textId="77777777" w:rsidR="002A5D2D" w:rsidRPr="003C09C9" w:rsidRDefault="002A5D2D" w:rsidP="00A83ABB">
            <w:pPr>
              <w:spacing w:before="29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9C9">
              <w:rPr>
                <w:rFonts w:ascii="Times New Roman" w:hAnsi="Times New Roman" w:cs="Times New Roman"/>
              </w:rPr>
              <w:t>Do</w:t>
            </w:r>
            <w:r w:rsidRPr="003C09C9">
              <w:rPr>
                <w:rFonts w:ascii="Times New Roman" w:hAnsi="Times New Roman" w:cs="Times New Roman"/>
                <w:spacing w:val="-4"/>
              </w:rPr>
              <w:t>k</w:t>
            </w:r>
            <w:r w:rsidRPr="003C09C9">
              <w:rPr>
                <w:rFonts w:ascii="Times New Roman" w:hAnsi="Times New Roman" w:cs="Times New Roman"/>
                <w:spacing w:val="4"/>
              </w:rPr>
              <w:t>ü</w:t>
            </w:r>
            <w:r w:rsidRPr="003C09C9">
              <w:rPr>
                <w:rFonts w:ascii="Times New Roman" w:hAnsi="Times New Roman" w:cs="Times New Roman"/>
                <w:spacing w:val="-4"/>
              </w:rPr>
              <w:t>m</w:t>
            </w:r>
            <w:r w:rsidRPr="003C09C9">
              <w:rPr>
                <w:rFonts w:ascii="Times New Roman" w:hAnsi="Times New Roman" w:cs="Times New Roman"/>
              </w:rPr>
              <w:t>an</w:t>
            </w:r>
            <w:proofErr w:type="spellEnd"/>
            <w:r w:rsidRPr="003C09C9">
              <w:rPr>
                <w:rFonts w:ascii="Times New Roman" w:hAnsi="Times New Roman" w:cs="Times New Roman"/>
              </w:rPr>
              <w:t xml:space="preserve"> N</w:t>
            </w:r>
            <w:r w:rsidRPr="003C09C9">
              <w:rPr>
                <w:rFonts w:ascii="Times New Roman" w:hAnsi="Times New Roman" w:cs="Times New Roman"/>
                <w:spacing w:val="-2"/>
              </w:rPr>
              <w:t>o</w:t>
            </w:r>
            <w:r w:rsidRPr="003C0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E20E3F" w14:textId="5F2AED5C" w:rsidR="002A5D2D" w:rsidRPr="003C09C9" w:rsidRDefault="002C70F0" w:rsidP="00A83ABB">
            <w:pPr>
              <w:spacing w:before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A5D2D" w:rsidRPr="003C09C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K</w:t>
            </w:r>
            <w:r w:rsidR="002A5D2D" w:rsidRPr="003C09C9">
              <w:rPr>
                <w:rFonts w:ascii="Times New Roman" w:hAnsi="Times New Roman" w:cs="Times New Roman"/>
              </w:rPr>
              <w:t>.PR.0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5D2D" w:rsidRPr="003A0BEB" w14:paraId="4924FE29" w14:textId="77777777" w:rsidTr="002C70F0">
        <w:trPr>
          <w:trHeight w:hRule="exact" w:val="323"/>
        </w:trPr>
        <w:tc>
          <w:tcPr>
            <w:tcW w:w="351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17BF184" w14:textId="77777777" w:rsidR="002A5D2D" w:rsidRPr="003A0BEB" w:rsidRDefault="002A5D2D" w:rsidP="00A83A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AED3D41" w14:textId="77777777" w:rsidR="002A5D2D" w:rsidRPr="003C09C9" w:rsidRDefault="002A5D2D" w:rsidP="00A83ABB">
            <w:pPr>
              <w:spacing w:before="31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9C9">
              <w:rPr>
                <w:rFonts w:ascii="Times New Roman" w:hAnsi="Times New Roman" w:cs="Times New Roman"/>
              </w:rPr>
              <w:t>Ya</w:t>
            </w:r>
            <w:r w:rsidRPr="003C09C9">
              <w:rPr>
                <w:rFonts w:ascii="Times New Roman" w:hAnsi="Times New Roman" w:cs="Times New Roman"/>
                <w:spacing w:val="-2"/>
              </w:rPr>
              <w:t>y</w:t>
            </w:r>
            <w:r w:rsidRPr="003C09C9">
              <w:rPr>
                <w:rFonts w:ascii="Times New Roman" w:hAnsi="Times New Roman" w:cs="Times New Roman"/>
              </w:rPr>
              <w:t>ın</w:t>
            </w:r>
            <w:proofErr w:type="spellEnd"/>
            <w:r w:rsidRPr="003C0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9C9">
              <w:rPr>
                <w:rFonts w:ascii="Times New Roman" w:hAnsi="Times New Roman" w:cs="Times New Roman"/>
                <w:spacing w:val="2"/>
              </w:rPr>
              <w:t>T</w:t>
            </w:r>
            <w:r w:rsidRPr="003C09C9">
              <w:rPr>
                <w:rFonts w:ascii="Times New Roman" w:hAnsi="Times New Roman" w:cs="Times New Roman"/>
              </w:rPr>
              <w:t>ar</w:t>
            </w:r>
            <w:r w:rsidRPr="003C09C9">
              <w:rPr>
                <w:rFonts w:ascii="Times New Roman" w:hAnsi="Times New Roman" w:cs="Times New Roman"/>
                <w:spacing w:val="-2"/>
              </w:rPr>
              <w:t>i</w:t>
            </w:r>
            <w:r w:rsidRPr="003C09C9">
              <w:rPr>
                <w:rFonts w:ascii="Times New Roman" w:hAnsi="Times New Roman" w:cs="Times New Roman"/>
              </w:rPr>
              <w:t>hi</w:t>
            </w:r>
            <w:proofErr w:type="spellEnd"/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53BA76" w14:textId="5E2DDF71" w:rsidR="002A5D2D" w:rsidRPr="003C09C9" w:rsidRDefault="002C70F0" w:rsidP="00A83ABB">
            <w:pPr>
              <w:spacing w:befor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19.12.2019</w:t>
            </w:r>
          </w:p>
        </w:tc>
      </w:tr>
      <w:tr w:rsidR="002A5D2D" w:rsidRPr="003A0BEB" w14:paraId="111D67F5" w14:textId="77777777" w:rsidTr="002C70F0">
        <w:trPr>
          <w:trHeight w:hRule="exact" w:val="323"/>
        </w:trPr>
        <w:tc>
          <w:tcPr>
            <w:tcW w:w="351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3734B3" w14:textId="77777777" w:rsidR="002A5D2D" w:rsidRPr="003A0BEB" w:rsidRDefault="002A5D2D" w:rsidP="00A83A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FED8DA4" w14:textId="77777777" w:rsidR="002A5D2D" w:rsidRPr="003C09C9" w:rsidRDefault="002A5D2D" w:rsidP="00A83ABB">
            <w:pPr>
              <w:spacing w:before="31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9C9">
              <w:rPr>
                <w:rFonts w:ascii="Times New Roman" w:hAnsi="Times New Roman" w:cs="Times New Roman"/>
                <w:spacing w:val="-1"/>
              </w:rPr>
              <w:t>R</w:t>
            </w:r>
            <w:r w:rsidRPr="003C09C9">
              <w:rPr>
                <w:rFonts w:ascii="Times New Roman" w:hAnsi="Times New Roman" w:cs="Times New Roman"/>
                <w:spacing w:val="2"/>
              </w:rPr>
              <w:t>e</w:t>
            </w:r>
            <w:r w:rsidRPr="003C09C9">
              <w:rPr>
                <w:rFonts w:ascii="Times New Roman" w:hAnsi="Times New Roman" w:cs="Times New Roman"/>
                <w:spacing w:val="-2"/>
              </w:rPr>
              <w:t>v</w:t>
            </w:r>
            <w:r w:rsidRPr="003C09C9">
              <w:rPr>
                <w:rFonts w:ascii="Times New Roman" w:hAnsi="Times New Roman" w:cs="Times New Roman"/>
              </w:rPr>
              <w:t>i</w:t>
            </w:r>
            <w:r w:rsidRPr="003C09C9">
              <w:rPr>
                <w:rFonts w:ascii="Times New Roman" w:hAnsi="Times New Roman" w:cs="Times New Roman"/>
                <w:spacing w:val="2"/>
              </w:rPr>
              <w:t>z</w:t>
            </w:r>
            <w:r w:rsidRPr="003C09C9">
              <w:rPr>
                <w:rFonts w:ascii="Times New Roman" w:hAnsi="Times New Roman" w:cs="Times New Roman"/>
                <w:spacing w:val="-2"/>
              </w:rPr>
              <w:t>y</w:t>
            </w:r>
            <w:r w:rsidRPr="003C09C9">
              <w:rPr>
                <w:rFonts w:ascii="Times New Roman" w:hAnsi="Times New Roman" w:cs="Times New Roman"/>
              </w:rPr>
              <w:t>on</w:t>
            </w:r>
            <w:proofErr w:type="spellEnd"/>
            <w:r w:rsidRPr="003C0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9C9">
              <w:rPr>
                <w:rFonts w:ascii="Times New Roman" w:hAnsi="Times New Roman" w:cs="Times New Roman"/>
                <w:spacing w:val="2"/>
              </w:rPr>
              <w:t>T</w:t>
            </w:r>
            <w:r w:rsidRPr="003C09C9">
              <w:rPr>
                <w:rFonts w:ascii="Times New Roman" w:hAnsi="Times New Roman" w:cs="Times New Roman"/>
                <w:spacing w:val="-3"/>
              </w:rPr>
              <w:t>a</w:t>
            </w:r>
            <w:r w:rsidRPr="003C09C9">
              <w:rPr>
                <w:rFonts w:ascii="Times New Roman" w:hAnsi="Times New Roman" w:cs="Times New Roman"/>
                <w:spacing w:val="2"/>
              </w:rPr>
              <w:t>r</w:t>
            </w:r>
            <w:r w:rsidRPr="003C09C9">
              <w:rPr>
                <w:rFonts w:ascii="Times New Roman" w:hAnsi="Times New Roman" w:cs="Times New Roman"/>
              </w:rPr>
              <w:t>i</w:t>
            </w:r>
            <w:r w:rsidRPr="003C09C9">
              <w:rPr>
                <w:rFonts w:ascii="Times New Roman" w:hAnsi="Times New Roman" w:cs="Times New Roman"/>
                <w:spacing w:val="-2"/>
              </w:rPr>
              <w:t>h</w:t>
            </w:r>
            <w:r w:rsidRPr="003C09C9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5FCBE1" w14:textId="6CA2686A" w:rsidR="002A5D2D" w:rsidRPr="003C09C9" w:rsidRDefault="002A5D2D" w:rsidP="00A83ABB">
            <w:pPr>
              <w:spacing w:before="31"/>
              <w:jc w:val="both"/>
              <w:rPr>
                <w:rFonts w:ascii="Times New Roman" w:hAnsi="Times New Roman" w:cs="Times New Roman"/>
              </w:rPr>
            </w:pPr>
            <w:r w:rsidRPr="003C09C9">
              <w:rPr>
                <w:rFonts w:ascii="Times New Roman" w:hAnsi="Times New Roman" w:cs="Times New Roman"/>
              </w:rPr>
              <w:t xml:space="preserve"> </w:t>
            </w:r>
            <w:r w:rsidR="002C70F0">
              <w:rPr>
                <w:rFonts w:ascii="Times New Roman" w:hAnsi="Times New Roman" w:cs="Times New Roman"/>
              </w:rPr>
              <w:t>24.02.2022</w:t>
            </w:r>
          </w:p>
        </w:tc>
      </w:tr>
      <w:tr w:rsidR="002A5D2D" w:rsidRPr="003A0BEB" w14:paraId="35351EA7" w14:textId="77777777" w:rsidTr="002C70F0">
        <w:trPr>
          <w:trHeight w:hRule="exact" w:val="324"/>
        </w:trPr>
        <w:tc>
          <w:tcPr>
            <w:tcW w:w="351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29E717" w14:textId="77777777" w:rsidR="002A5D2D" w:rsidRPr="003A0BEB" w:rsidRDefault="002A5D2D" w:rsidP="00A83A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9322F7" w14:textId="77777777" w:rsidR="002A5D2D" w:rsidRPr="003C09C9" w:rsidRDefault="002A5D2D" w:rsidP="00A83ABB">
            <w:pPr>
              <w:spacing w:before="31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9C9">
              <w:rPr>
                <w:rFonts w:ascii="Times New Roman" w:hAnsi="Times New Roman" w:cs="Times New Roman"/>
                <w:spacing w:val="-1"/>
              </w:rPr>
              <w:t>R</w:t>
            </w:r>
            <w:r w:rsidRPr="003C09C9">
              <w:rPr>
                <w:rFonts w:ascii="Times New Roman" w:hAnsi="Times New Roman" w:cs="Times New Roman"/>
                <w:spacing w:val="2"/>
              </w:rPr>
              <w:t>e</w:t>
            </w:r>
            <w:r w:rsidRPr="003C09C9">
              <w:rPr>
                <w:rFonts w:ascii="Times New Roman" w:hAnsi="Times New Roman" w:cs="Times New Roman"/>
                <w:spacing w:val="-2"/>
              </w:rPr>
              <w:t>v</w:t>
            </w:r>
            <w:r w:rsidRPr="003C09C9">
              <w:rPr>
                <w:rFonts w:ascii="Times New Roman" w:hAnsi="Times New Roman" w:cs="Times New Roman"/>
              </w:rPr>
              <w:t>i</w:t>
            </w:r>
            <w:r w:rsidRPr="003C09C9">
              <w:rPr>
                <w:rFonts w:ascii="Times New Roman" w:hAnsi="Times New Roman" w:cs="Times New Roman"/>
                <w:spacing w:val="2"/>
              </w:rPr>
              <w:t>z</w:t>
            </w:r>
            <w:r w:rsidRPr="003C09C9">
              <w:rPr>
                <w:rFonts w:ascii="Times New Roman" w:hAnsi="Times New Roman" w:cs="Times New Roman"/>
                <w:spacing w:val="-2"/>
              </w:rPr>
              <w:t>y</w:t>
            </w:r>
            <w:r w:rsidRPr="003C09C9">
              <w:rPr>
                <w:rFonts w:ascii="Times New Roman" w:hAnsi="Times New Roman" w:cs="Times New Roman"/>
              </w:rPr>
              <w:t>on</w:t>
            </w:r>
            <w:proofErr w:type="spellEnd"/>
            <w:r w:rsidRPr="003C09C9">
              <w:rPr>
                <w:rFonts w:ascii="Times New Roman" w:hAnsi="Times New Roman" w:cs="Times New Roman"/>
              </w:rPr>
              <w:t xml:space="preserve"> </w:t>
            </w:r>
            <w:r w:rsidRPr="003C09C9">
              <w:rPr>
                <w:rFonts w:ascii="Times New Roman" w:hAnsi="Times New Roman" w:cs="Times New Roman"/>
                <w:spacing w:val="-3"/>
              </w:rPr>
              <w:t>N</w:t>
            </w:r>
            <w:r w:rsidRPr="003C09C9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1B12DC0" w14:textId="087DD9DE" w:rsidR="002A5D2D" w:rsidRPr="003C09C9" w:rsidRDefault="002A5D2D" w:rsidP="00A83ABB">
            <w:pPr>
              <w:spacing w:before="31"/>
              <w:jc w:val="both"/>
              <w:rPr>
                <w:rFonts w:ascii="Times New Roman" w:hAnsi="Times New Roman" w:cs="Times New Roman"/>
              </w:rPr>
            </w:pPr>
            <w:r w:rsidRPr="003C09C9">
              <w:rPr>
                <w:rFonts w:ascii="Times New Roman" w:hAnsi="Times New Roman" w:cs="Times New Roman"/>
              </w:rPr>
              <w:t xml:space="preserve"> </w:t>
            </w:r>
            <w:r w:rsidR="002C70F0">
              <w:rPr>
                <w:rFonts w:ascii="Times New Roman" w:hAnsi="Times New Roman" w:cs="Times New Roman"/>
              </w:rPr>
              <w:t>1</w:t>
            </w:r>
          </w:p>
        </w:tc>
      </w:tr>
      <w:tr w:rsidR="002A5D2D" w:rsidRPr="003A0BEB" w14:paraId="116FB2B5" w14:textId="77777777" w:rsidTr="002C70F0">
        <w:trPr>
          <w:trHeight w:hRule="exact" w:val="323"/>
        </w:trPr>
        <w:tc>
          <w:tcPr>
            <w:tcW w:w="3519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1E5C8E7" w14:textId="77777777" w:rsidR="002A5D2D" w:rsidRPr="003A0BEB" w:rsidRDefault="002A5D2D" w:rsidP="00A83ABB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5936C2" w14:textId="77777777" w:rsidR="002A5D2D" w:rsidRPr="003C09C9" w:rsidRDefault="002A5D2D" w:rsidP="00A83ABB">
            <w:pPr>
              <w:spacing w:before="29"/>
              <w:ind w:lef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9C9">
              <w:rPr>
                <w:rFonts w:ascii="Times New Roman" w:hAnsi="Times New Roman" w:cs="Times New Roman"/>
                <w:spacing w:val="-1"/>
              </w:rPr>
              <w:t>S</w:t>
            </w:r>
            <w:r w:rsidRPr="003C09C9">
              <w:rPr>
                <w:rFonts w:ascii="Times New Roman" w:hAnsi="Times New Roman" w:cs="Times New Roman"/>
                <w:spacing w:val="2"/>
              </w:rPr>
              <w:t>a</w:t>
            </w:r>
            <w:r w:rsidRPr="003C09C9">
              <w:rPr>
                <w:rFonts w:ascii="Times New Roman" w:hAnsi="Times New Roman" w:cs="Times New Roman"/>
                <w:spacing w:val="-2"/>
              </w:rPr>
              <w:t>y</w:t>
            </w:r>
            <w:r w:rsidRPr="003C09C9">
              <w:rPr>
                <w:rFonts w:ascii="Times New Roman" w:hAnsi="Times New Roman" w:cs="Times New Roman"/>
                <w:spacing w:val="2"/>
              </w:rPr>
              <w:t>f</w:t>
            </w:r>
            <w:r w:rsidRPr="003C09C9">
              <w:rPr>
                <w:rFonts w:ascii="Times New Roman" w:hAnsi="Times New Roman" w:cs="Times New Roman"/>
              </w:rPr>
              <w:t>a</w:t>
            </w:r>
            <w:proofErr w:type="spellEnd"/>
            <w:r w:rsidRPr="003C09C9">
              <w:rPr>
                <w:rFonts w:ascii="Times New Roman" w:hAnsi="Times New Roman" w:cs="Times New Roman"/>
              </w:rPr>
              <w:t xml:space="preserve"> N</w:t>
            </w:r>
            <w:r w:rsidRPr="003C09C9">
              <w:rPr>
                <w:rFonts w:ascii="Times New Roman" w:hAnsi="Times New Roman" w:cs="Times New Roman"/>
                <w:spacing w:val="-2"/>
              </w:rPr>
              <w:t>o</w:t>
            </w:r>
            <w:r w:rsidRPr="003C0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4969F72" w14:textId="21BD3F9F" w:rsidR="002A5D2D" w:rsidRPr="003C09C9" w:rsidRDefault="003C09C9" w:rsidP="00A83ABB">
            <w:pPr>
              <w:spacing w:before="29"/>
              <w:ind w:left="102"/>
              <w:jc w:val="both"/>
              <w:rPr>
                <w:rFonts w:ascii="Times New Roman" w:hAnsi="Times New Roman" w:cs="Times New Roman"/>
              </w:rPr>
            </w:pPr>
            <w:r w:rsidRPr="003C09C9">
              <w:rPr>
                <w:rFonts w:ascii="Times New Roman" w:hAnsi="Times New Roman" w:cs="Times New Roman"/>
              </w:rPr>
              <w:t>2</w:t>
            </w:r>
            <w:r w:rsidR="002A5D2D" w:rsidRPr="003C09C9">
              <w:rPr>
                <w:rFonts w:ascii="Times New Roman" w:hAnsi="Times New Roman" w:cs="Times New Roman"/>
              </w:rPr>
              <w:t>/</w:t>
            </w:r>
            <w:r w:rsidRPr="003C09C9">
              <w:rPr>
                <w:rFonts w:ascii="Times New Roman" w:hAnsi="Times New Roman" w:cs="Times New Roman"/>
              </w:rPr>
              <w:t>2</w:t>
            </w:r>
          </w:p>
        </w:tc>
      </w:tr>
    </w:tbl>
    <w:p w14:paraId="3F8DEB53" w14:textId="19A23FB2" w:rsidR="0000015C" w:rsidRDefault="002A5D2D" w:rsidP="002C7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BEB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konularda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tutanak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düzenlenerek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yüklenici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firmaya</w:t>
      </w:r>
      <w:proofErr w:type="spellEnd"/>
      <w:r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EB">
        <w:rPr>
          <w:rFonts w:ascii="Times New Roman" w:hAnsi="Times New Roman" w:cs="Times New Roman"/>
          <w:sz w:val="24"/>
          <w:szCs w:val="24"/>
        </w:rPr>
        <w:t>düzeltici</w:t>
      </w:r>
      <w:r w:rsidR="00925B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2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faaliyet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prosedürlere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açılır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ekinde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iletilir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iyileştirmelerin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zamanında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şartnameye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sözleşmeye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getirildiğinin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görülmemesi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yüklenici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uyarılır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komisyonu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periyodik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denetimlerde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yüklenici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0BEB" w:rsidRPr="003A0BEB">
        <w:rPr>
          <w:rFonts w:ascii="Times New Roman" w:hAnsi="Times New Roman" w:cs="Times New Roman"/>
          <w:sz w:val="24"/>
          <w:szCs w:val="24"/>
        </w:rPr>
        <w:t>hizmette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uygunsuzluklara</w:t>
      </w:r>
      <w:proofErr w:type="spellEnd"/>
      <w:proofErr w:type="gram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ettiğinin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tutanakla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tespiti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sözleşmenin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hükümleri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işletilerek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sözleşmenin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feshi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hükümleri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uygulanır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Taşeron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yüklenici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seçiminde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sözleşme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hükümlerini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sorunsuz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şekilde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getirebilecek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hizmetin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sunumunda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aksamalara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sebebiyet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vermeden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özellikle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öneme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vatandaşta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tereddüdü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yaratmayacak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memnuniyeti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öncelikli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ilke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benimseyecek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firmalarla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çalışmaya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özen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gösterilmelidir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. Bunun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taşeron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yüklenici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seçiminde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karar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verilirken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kriter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düşük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teklif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dikkate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alınmamalı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maliyetli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teklifin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yanında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fiyat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unsurlar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da (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memnuniyet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işletme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bakım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maliyeti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etkinlik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verimlilik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vergi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alışkanlıkları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referans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listesi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vb.)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titizlikle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incelenmelidir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Hizmetlere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taşeron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seçimi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0F0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2C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F0">
        <w:rPr>
          <w:rFonts w:ascii="Times New Roman" w:hAnsi="Times New Roman" w:cs="Times New Roman"/>
          <w:sz w:val="24"/>
          <w:szCs w:val="24"/>
        </w:rPr>
        <w:t>kaynak</w:t>
      </w:r>
      <w:proofErr w:type="spellEnd"/>
      <w:r w:rsidR="002C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0F0">
        <w:rPr>
          <w:rFonts w:ascii="Times New Roman" w:hAnsi="Times New Roman" w:cs="Times New Roman"/>
          <w:sz w:val="24"/>
          <w:szCs w:val="24"/>
        </w:rPr>
        <w:t>kullanımı</w:t>
      </w:r>
      <w:proofErr w:type="spellEnd"/>
      <w:r w:rsidR="002C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ygulamalarının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başarısını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artıracağı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kurumların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amaçlarını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getirmelerini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sağlamaya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yardımcı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uzman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önde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firmalarla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sözleşme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imzalanarak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etkin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iletişim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çalışılmalı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denetimler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yapılmalı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gerektiğinde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cezai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müeyyidelere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verilerek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açık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kapı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bırakmamaya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özen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gösterilmelidir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Benzer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alımları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söz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konusu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olduğunda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mutlaka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önceki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gözden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geçirilmeli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geribildirimler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ışığında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iyileştirilmiş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sözleşmeler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hazırlanmalıdır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>.</w:t>
      </w:r>
      <w:r w:rsidR="0000015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B511887" w14:textId="007258E0" w:rsidR="00F0534F" w:rsidRPr="00F0534F" w:rsidRDefault="0000015C" w:rsidP="00F0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r w:rsidR="003A0BEB" w:rsidRPr="0000015C">
        <w:rPr>
          <w:rFonts w:ascii="Times New Roman" w:hAnsi="Times New Roman" w:cs="Times New Roman"/>
          <w:b/>
          <w:bCs/>
          <w:sz w:val="24"/>
          <w:szCs w:val="24"/>
        </w:rPr>
        <w:t>6.2</w:t>
      </w:r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Kaynak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Kullanımı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Yolu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İle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Sağlanan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Hizmetler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: </w:t>
      </w:r>
      <w:r w:rsidR="00925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Diş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Protez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Laboratu</w:t>
      </w:r>
      <w:r w:rsidR="002C70F0">
        <w:rPr>
          <w:rFonts w:ascii="Times New Roman" w:hAnsi="Times New Roman" w:cs="Times New Roman"/>
          <w:sz w:val="24"/>
          <w:szCs w:val="24"/>
        </w:rPr>
        <w:t>v</w:t>
      </w:r>
      <w:r w:rsidR="003A0BEB" w:rsidRPr="003A0BEB">
        <w:rPr>
          <w:rFonts w:ascii="Times New Roman" w:hAnsi="Times New Roman" w:cs="Times New Roman"/>
          <w:sz w:val="24"/>
          <w:szCs w:val="24"/>
        </w:rPr>
        <w:t>arı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Alımı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Sabit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Hareketli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Asansör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Bakım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Onarım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5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="00FE51DB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="00FE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B">
        <w:rPr>
          <w:rFonts w:ascii="Times New Roman" w:hAnsi="Times New Roman" w:cs="Times New Roman"/>
          <w:sz w:val="24"/>
          <w:szCs w:val="24"/>
        </w:rPr>
        <w:t>Bakım</w:t>
      </w:r>
      <w:proofErr w:type="spellEnd"/>
      <w:r w:rsidR="00FE5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1DB">
        <w:rPr>
          <w:rFonts w:ascii="Times New Roman" w:hAnsi="Times New Roman" w:cs="Times New Roman"/>
          <w:sz w:val="24"/>
          <w:szCs w:val="24"/>
        </w:rPr>
        <w:t>Onarım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Dozimetre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Laboratuvar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Hizmetleri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Güç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Kaynak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Alımı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A0BEB" w:rsidRPr="003A0B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Jeneratör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Hizmetleri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Alımı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A0BEB" w:rsidRPr="003A0BEB">
        <w:rPr>
          <w:rFonts w:ascii="Times New Roman" w:hAnsi="Times New Roman" w:cs="Times New Roman"/>
          <w:sz w:val="24"/>
          <w:szCs w:val="24"/>
        </w:rPr>
        <w:t xml:space="preserve">HBYS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Alımı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Tıbbi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Atık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BEB" w:rsidRPr="003A0BEB">
        <w:rPr>
          <w:rFonts w:ascii="Times New Roman" w:hAnsi="Times New Roman" w:cs="Times New Roman"/>
          <w:sz w:val="24"/>
          <w:szCs w:val="24"/>
        </w:rPr>
        <w:t>Alımı</w:t>
      </w:r>
      <w:proofErr w:type="spellEnd"/>
      <w:r w:rsidR="003A0BEB" w:rsidRPr="003A0BEB">
        <w:rPr>
          <w:rFonts w:ascii="Times New Roman" w:hAnsi="Times New Roman" w:cs="Times New Roman"/>
          <w:sz w:val="24"/>
          <w:szCs w:val="24"/>
        </w:rPr>
        <w:t xml:space="preserve"> </w:t>
      </w:r>
      <w:r w:rsidR="00F05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Bina </w:t>
      </w:r>
      <w:proofErr w:type="spellStart"/>
      <w:r w:rsidR="00F0534F">
        <w:rPr>
          <w:rFonts w:ascii="Times New Roman" w:hAnsi="Times New Roman" w:cs="Times New Roman"/>
          <w:sz w:val="24"/>
          <w:szCs w:val="24"/>
        </w:rPr>
        <w:t>İlaçlama</w:t>
      </w:r>
      <w:proofErr w:type="spellEnd"/>
      <w:r w:rsidR="00F0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4F">
        <w:rPr>
          <w:rFonts w:ascii="Times New Roman" w:hAnsi="Times New Roman" w:cs="Times New Roman"/>
          <w:sz w:val="24"/>
          <w:szCs w:val="24"/>
        </w:rPr>
        <w:t>Hizmeti</w:t>
      </w:r>
      <w:proofErr w:type="spellEnd"/>
      <w:r w:rsidR="00F0534F">
        <w:rPr>
          <w:rFonts w:ascii="Times New Roman" w:hAnsi="Times New Roman" w:cs="Times New Roman"/>
          <w:sz w:val="24"/>
          <w:szCs w:val="24"/>
        </w:rPr>
        <w:t xml:space="preserve"> </w:t>
      </w:r>
      <w:r w:rsidR="00925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0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4F">
        <w:rPr>
          <w:rFonts w:ascii="Times New Roman" w:hAnsi="Times New Roman" w:cs="Times New Roman"/>
          <w:sz w:val="24"/>
          <w:szCs w:val="24"/>
        </w:rPr>
        <w:t>İsg</w:t>
      </w:r>
      <w:proofErr w:type="spellEnd"/>
      <w:r w:rsidR="00F0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4F">
        <w:rPr>
          <w:rFonts w:ascii="Times New Roman" w:hAnsi="Times New Roman" w:cs="Times New Roman"/>
          <w:sz w:val="24"/>
          <w:szCs w:val="24"/>
        </w:rPr>
        <w:t>Uzmanı</w:t>
      </w:r>
      <w:proofErr w:type="spellEnd"/>
      <w:r w:rsidR="00F05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34F">
        <w:rPr>
          <w:rFonts w:ascii="Times New Roman" w:hAnsi="Times New Roman" w:cs="Times New Roman"/>
          <w:sz w:val="24"/>
          <w:szCs w:val="24"/>
        </w:rPr>
        <w:t>hizmeti</w:t>
      </w:r>
      <w:proofErr w:type="spellEnd"/>
    </w:p>
    <w:sectPr w:rsidR="00F0534F" w:rsidRPr="00F05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B1BE" w14:textId="77777777" w:rsidR="000079BE" w:rsidRDefault="000079BE" w:rsidP="002A5D2D">
      <w:pPr>
        <w:spacing w:after="0" w:line="240" w:lineRule="auto"/>
      </w:pPr>
      <w:r>
        <w:separator/>
      </w:r>
    </w:p>
  </w:endnote>
  <w:endnote w:type="continuationSeparator" w:id="0">
    <w:p w14:paraId="535E8A7E" w14:textId="77777777" w:rsidR="000079BE" w:rsidRDefault="000079BE" w:rsidP="002A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F841" w14:textId="77777777" w:rsidR="00B05B9A" w:rsidRDefault="00B05B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F79D6" w14:textId="77777777" w:rsidR="002A5D2D" w:rsidRDefault="002A5D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5883" w14:textId="77777777" w:rsidR="00B05B9A" w:rsidRDefault="00B05B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F515" w14:textId="77777777" w:rsidR="000079BE" w:rsidRDefault="000079BE" w:rsidP="002A5D2D">
      <w:pPr>
        <w:spacing w:after="0" w:line="240" w:lineRule="auto"/>
      </w:pPr>
      <w:r>
        <w:separator/>
      </w:r>
    </w:p>
  </w:footnote>
  <w:footnote w:type="continuationSeparator" w:id="0">
    <w:p w14:paraId="63AB2975" w14:textId="77777777" w:rsidR="000079BE" w:rsidRDefault="000079BE" w:rsidP="002A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BA2A" w14:textId="77777777" w:rsidR="00B05B9A" w:rsidRDefault="00B05B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09A1" w14:textId="77777777" w:rsidR="00B05B9A" w:rsidRDefault="00B05B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73C3" w14:textId="77777777" w:rsidR="00B05B9A" w:rsidRDefault="00B05B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722"/>
    <w:multiLevelType w:val="hybridMultilevel"/>
    <w:tmpl w:val="9F5C3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DB"/>
    <w:rsid w:val="0000015C"/>
    <w:rsid w:val="000079BE"/>
    <w:rsid w:val="002A5D2D"/>
    <w:rsid w:val="002C70F0"/>
    <w:rsid w:val="003A0BEB"/>
    <w:rsid w:val="003C09C9"/>
    <w:rsid w:val="005F53A9"/>
    <w:rsid w:val="00603CDB"/>
    <w:rsid w:val="00635769"/>
    <w:rsid w:val="007139BE"/>
    <w:rsid w:val="00925B24"/>
    <w:rsid w:val="009F1DDF"/>
    <w:rsid w:val="00B05B9A"/>
    <w:rsid w:val="00F0534F"/>
    <w:rsid w:val="00F3678A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A0F4"/>
  <w15:chartTrackingRefBased/>
  <w15:docId w15:val="{83BD623F-FE8A-48C6-8176-E62AA8B4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EB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A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5D2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A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5D2D"/>
    <w:rPr>
      <w:lang w:val="en-US"/>
    </w:rPr>
  </w:style>
  <w:style w:type="table" w:styleId="TabloKlavuzu">
    <w:name w:val="Table Grid"/>
    <w:basedOn w:val="NormalTablo"/>
    <w:uiPriority w:val="39"/>
    <w:rsid w:val="002A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6</cp:revision>
  <cp:lastPrinted>2022-02-25T11:22:00Z</cp:lastPrinted>
  <dcterms:created xsi:type="dcterms:W3CDTF">2022-02-23T18:03:00Z</dcterms:created>
  <dcterms:modified xsi:type="dcterms:W3CDTF">2022-03-07T18:05:00Z</dcterms:modified>
</cp:coreProperties>
</file>