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7B7EC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1.SORUMLULAR</w:t>
      </w:r>
    </w:p>
    <w:p w14:paraId="0BD25B98" w14:textId="1B615FB3" w:rsid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Sterilizasyon: Cansız yüzeyler üzerindeki mikroorganizmaların sporlar dahil tüm yaşam şekillerinin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yok edilmek üzere Merkezi Sterilizasyon Ünitesinde çalışan personeller sorumludur</w:t>
      </w:r>
      <w:r w:rsidR="0023696E">
        <w:rPr>
          <w:rFonts w:ascii="Times New Roman" w:hAnsi="Times New Roman" w:cs="Times New Roman"/>
          <w:sz w:val="24"/>
          <w:szCs w:val="24"/>
        </w:rPr>
        <w:t>.</w:t>
      </w:r>
    </w:p>
    <w:p w14:paraId="14CB7864" w14:textId="77777777" w:rsidR="00783DCA" w:rsidRPr="00D0117F" w:rsidRDefault="00783DCA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08713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2. UYGULAMA ADIMLARI:</w:t>
      </w:r>
    </w:p>
    <w:p w14:paraId="351AA7DD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Cihaz açılır, 10 dakika ısıtılır, Program Kaçak Hava Testi yapılır.</w:t>
      </w:r>
    </w:p>
    <w:p w14:paraId="4AF4D539" w14:textId="34C3A553" w:rsid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Buhar sterilizasyonu </w:t>
      </w:r>
      <w:r w:rsidR="00A00DB0">
        <w:rPr>
          <w:rFonts w:ascii="Times New Roman" w:hAnsi="Times New Roman" w:cs="Times New Roman"/>
          <w:sz w:val="24"/>
          <w:szCs w:val="24"/>
        </w:rPr>
        <w:t xml:space="preserve">seçilen programa </w:t>
      </w:r>
      <w:r w:rsidR="00783DCA">
        <w:rPr>
          <w:rFonts w:ascii="Times New Roman" w:hAnsi="Times New Roman" w:cs="Times New Roman"/>
          <w:sz w:val="24"/>
          <w:szCs w:val="24"/>
        </w:rPr>
        <w:t xml:space="preserve">göre </w:t>
      </w:r>
      <w:r w:rsidR="00783DCA" w:rsidRPr="00D0117F">
        <w:rPr>
          <w:rFonts w:ascii="Times New Roman" w:hAnsi="Times New Roman" w:cs="Times New Roman"/>
          <w:sz w:val="24"/>
          <w:szCs w:val="24"/>
        </w:rPr>
        <w:t>sterilizasyon</w:t>
      </w:r>
      <w:r w:rsidRPr="00D0117F">
        <w:rPr>
          <w:rFonts w:ascii="Times New Roman" w:hAnsi="Times New Roman" w:cs="Times New Roman"/>
          <w:sz w:val="24"/>
          <w:szCs w:val="24"/>
        </w:rPr>
        <w:t xml:space="preserve"> işlemine tabi tutulmalıdır.</w:t>
      </w:r>
    </w:p>
    <w:p w14:paraId="772E2063" w14:textId="77777777" w:rsidR="00783DCA" w:rsidRPr="00D0117F" w:rsidRDefault="00783DCA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A4C2B3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2.2. Malzemenin Buhar Otoklavına Hazırlığı</w:t>
      </w:r>
    </w:p>
    <w:p w14:paraId="130C4BF4" w14:textId="2D10CB1F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Buhar sterilizasyonu uygulanacak aletler, ön dekontaminasyon, yıkama İşlemini takiben buharı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geçirecek ve sterilitesini koruyacak özellikte materyalle paketlenir (rulo poşet, medikal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kağıt)</w:t>
      </w:r>
    </w:p>
    <w:p w14:paraId="59CA8FA1" w14:textId="79AD3635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Paket boyutları </w:t>
      </w:r>
      <w:r w:rsidR="00743498">
        <w:rPr>
          <w:rFonts w:ascii="Times New Roman" w:hAnsi="Times New Roman" w:cs="Times New Roman"/>
          <w:sz w:val="24"/>
          <w:szCs w:val="24"/>
        </w:rPr>
        <w:t>malzeme boyutuna göre öncede</w:t>
      </w:r>
      <w:r w:rsidR="00E80293">
        <w:rPr>
          <w:rFonts w:ascii="Times New Roman" w:hAnsi="Times New Roman" w:cs="Times New Roman"/>
          <w:sz w:val="24"/>
          <w:szCs w:val="24"/>
        </w:rPr>
        <w:t>n</w:t>
      </w:r>
      <w:r w:rsidRPr="00D0117F">
        <w:rPr>
          <w:rFonts w:ascii="Times New Roman" w:hAnsi="Times New Roman" w:cs="Times New Roman"/>
          <w:sz w:val="24"/>
          <w:szCs w:val="24"/>
        </w:rPr>
        <w:t xml:space="preserve"> hazırlanır.</w:t>
      </w:r>
    </w:p>
    <w:p w14:paraId="4AF4F1F9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Alet setleri 8 kg, en fazla 11 kg ağırlıkta olmalıdır.</w:t>
      </w:r>
    </w:p>
    <w:p w14:paraId="31F3B92C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Aletler otoklava düzgün bir şekilde yerleştirilir.</w:t>
      </w:r>
    </w:p>
    <w:p w14:paraId="2D3B054E" w14:textId="427A497A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Sapları ağır olan aletlerin sapları metal yoğunluğu artırmamak için aynı yönde dizilmez, karşılıklı bir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alet sapı, bir alet başı olacak şekilde yerleştirilir.</w:t>
      </w:r>
    </w:p>
    <w:p w14:paraId="4C474FC9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Alet setlerinde klempli olan aletler sadece tek diş tutturulur.</w:t>
      </w:r>
    </w:p>
    <w:p w14:paraId="60E4F959" w14:textId="7BD5DDD1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Paketlemede malzeme / aletler birbirine paralel olarak, çukur kaplar açıklıkları alta gelecek şekilde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yerleştirilir.</w:t>
      </w:r>
    </w:p>
    <w:p w14:paraId="4B3EAFE3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Yüklemede, yük ile sterilizatör çemberi arasında buharın geçebileceği boşluk bırakılır.</w:t>
      </w:r>
    </w:p>
    <w:p w14:paraId="5B1EDEC9" w14:textId="10E3CD4E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Her paket arasında buhar dağılımını sağlayacak kadar boşluk olmalıdır. Böylece doygun buhar,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paketin her köşesine kolayca ulaşabilmelidir.</w:t>
      </w:r>
    </w:p>
    <w:p w14:paraId="4A55A274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İçerisinde bulunan malzeme cinsine göre program seçilir, okeylenir ve 45 dakika boyunca steril edilir.</w:t>
      </w:r>
    </w:p>
    <w:p w14:paraId="52462963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Sterilizasyon işlemi bittiğinde kapağı yavaşça açılıp 10 dakika bekletilir.</w:t>
      </w:r>
    </w:p>
    <w:p w14:paraId="68AE8E5C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Paketler tamamen kurumadan steril olmayan yüzeylere temas ettirilmemelidir.</w:t>
      </w:r>
    </w:p>
    <w:p w14:paraId="0B983FA2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İşlem sonunda sterilizatörden çıkan paketler soğuması için emniyetli bir yerde bekletilmelidir.</w:t>
      </w:r>
    </w:p>
    <w:p w14:paraId="6ACDE604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Sterilizatör yüklenirken hangi cihaza yüklendiği, döngü barkodu, seçilen program “MSÜ</w:t>
      </w:r>
    </w:p>
    <w:p w14:paraId="77FE222F" w14:textId="56659BA9" w:rsid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Sterilizatör</w:t>
      </w:r>
      <w:r w:rsidR="00FB4077">
        <w:rPr>
          <w:rFonts w:ascii="Times New Roman" w:hAnsi="Times New Roman" w:cs="Times New Roman"/>
          <w:sz w:val="24"/>
          <w:szCs w:val="24"/>
        </w:rPr>
        <w:t xml:space="preserve"> Otoklav </w:t>
      </w:r>
      <w:r w:rsidRPr="00D0117F">
        <w:rPr>
          <w:rFonts w:ascii="Times New Roman" w:hAnsi="Times New Roman" w:cs="Times New Roman"/>
          <w:sz w:val="24"/>
          <w:szCs w:val="24"/>
        </w:rPr>
        <w:t xml:space="preserve">Kontrol Takip </w:t>
      </w:r>
      <w:r w:rsidR="00FB4077" w:rsidRPr="00D0117F">
        <w:rPr>
          <w:rFonts w:ascii="Times New Roman" w:hAnsi="Times New Roman" w:cs="Times New Roman"/>
          <w:sz w:val="24"/>
          <w:szCs w:val="24"/>
        </w:rPr>
        <w:t>Formuna</w:t>
      </w:r>
      <w:r w:rsidRPr="00D0117F">
        <w:rPr>
          <w:rFonts w:ascii="Times New Roman" w:hAnsi="Times New Roman" w:cs="Times New Roman"/>
          <w:sz w:val="24"/>
          <w:szCs w:val="24"/>
        </w:rPr>
        <w:t xml:space="preserve"> </w:t>
      </w:r>
      <w:r w:rsidR="00FB4077" w:rsidRPr="00D0117F">
        <w:rPr>
          <w:rFonts w:ascii="Times New Roman" w:hAnsi="Times New Roman" w:cs="Times New Roman"/>
          <w:sz w:val="24"/>
          <w:szCs w:val="24"/>
        </w:rPr>
        <w:t>kaydedilir</w:t>
      </w:r>
      <w:r w:rsidRPr="00D0117F">
        <w:rPr>
          <w:rFonts w:ascii="Times New Roman" w:hAnsi="Times New Roman" w:cs="Times New Roman"/>
          <w:sz w:val="24"/>
          <w:szCs w:val="24"/>
        </w:rPr>
        <w:t>. Döngü grafiği arka sayfasına yapıştırılır.</w:t>
      </w:r>
    </w:p>
    <w:p w14:paraId="762F3B61" w14:textId="77777777" w:rsidR="00E60DD3" w:rsidRPr="00D0117F" w:rsidRDefault="00E60DD3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72534B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2.3. Otoklavın Günlük Bakımın/Kontrolü</w:t>
      </w:r>
    </w:p>
    <w:p w14:paraId="386416CF" w14:textId="79B79DA6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Her sterilizasyon çevriminde kritik parametreler cihazın göstergesinden kontrol edilmeli, grafik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incelenmeli, sıcaklık, basınç, nem ve zaman incelenmeli ve sterilizasyon platosunun uzunluğu ölçülmeli.</w:t>
      </w:r>
    </w:p>
    <w:p w14:paraId="72CBC715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Vakum kaçağı 1 milibar/dakikadan az ise Haftada Bir Kez yapılmalıdır.</w:t>
      </w:r>
    </w:p>
    <w:p w14:paraId="0EA16033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lastRenderedPageBreak/>
        <w:t>♦ 1 milibar/dakikadan fazla ise Her Gün yapılmalıdır.</w:t>
      </w:r>
    </w:p>
    <w:p w14:paraId="5FF449D6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1,3 milibar/dakika üzerinde ise Cihazın Çalıştırılması Durdurulmalı,</w:t>
      </w:r>
    </w:p>
    <w:p w14:paraId="4D22B4A3" w14:textId="58FCA025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(Not: Arıza kayıt altına alınarak teknik servis çağırılmalıdır. KAÇAK test sonuçları otoklav formuna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kaydedilir. Kaçak hava testi başarılı çıkarsa;)</w:t>
      </w:r>
    </w:p>
    <w:p w14:paraId="0853D831" w14:textId="6321628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Her gün cihaz boşken ve sterilizasyon işlemine başlamadan Bowie&amp;Dick testi (belirlenen zaman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aralığında) uygulanmalı ve kayıt altına alınmalıdır. (Buhar sterilizasyonunda etkin bir sterilizasyon için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buharın steril edilecek tüm yüzeylere doymuş buhar formunda ulaşması, uygun sıcaklık ve sürede etkisini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sürdürmesi gereklidir.)</w:t>
      </w:r>
    </w:p>
    <w:p w14:paraId="06260AD3" w14:textId="0E34FE69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Bowie-dick testi paketi, sterilizatör boşken en alt rafa hava tahliyesi veya vakum pompasına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yakın yere yerleştirilir ve sterilizatördeki bowie-dick özel programı ayarlanarak cihaz çalıştırılır.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bitiminde test yaprağı kontrol edilir ve tüm çizgilerin aynı tonda referans renge dönmesi beklenir. İşlemden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sonra testin arkasındaki bölümler doldurulur. Otoklav formuna işlem sonrası (OLUMLU-OLUMSUZ)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kaydedilir.</w:t>
      </w:r>
    </w:p>
    <w:p w14:paraId="6BE55B30" w14:textId="769E6039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Cihazda bulunan jeneratörün su seviyesinin hazır olması, uygun buhar seviyesi ve basınç değerine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ulaşması; ceketin uygun buhar seviyesi ve basınç değerine ulaşması gerekir. (</w:t>
      </w:r>
      <w:proofErr w:type="spellStart"/>
      <w:r w:rsidRPr="00D0117F">
        <w:rPr>
          <w:rFonts w:ascii="Times New Roman" w:hAnsi="Times New Roman" w:cs="Times New Roman"/>
          <w:sz w:val="24"/>
          <w:szCs w:val="24"/>
        </w:rPr>
        <w:t>ceker</w:t>
      </w:r>
      <w:proofErr w:type="spellEnd"/>
      <w:r w:rsidRPr="00D0117F">
        <w:rPr>
          <w:rFonts w:ascii="Times New Roman" w:hAnsi="Times New Roman" w:cs="Times New Roman"/>
          <w:sz w:val="24"/>
          <w:szCs w:val="24"/>
        </w:rPr>
        <w:t xml:space="preserve"> bar. 3,304; jenbar.3.304)</w:t>
      </w:r>
    </w:p>
    <w:p w14:paraId="58E8225E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Cihazın program döngüleri cihazdan takip edilir. Çıktıları forma kaydedilir.</w:t>
      </w:r>
    </w:p>
    <w:p w14:paraId="5C7B5992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Bowie-dick testi olumlu çıkarsa steril işlemine başlanır.</w:t>
      </w:r>
    </w:p>
    <w:p w14:paraId="7BEB7FB7" w14:textId="5296D01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Günlük olarak uygun temizleme maddesi kullanarak yükleme arabasını, raflarını, sterilizasyon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modülleri temizlenir. Cihazın dış yüzeyi uygun temizleme maddesi ve su yardımıyla temizlenir.</w:t>
      </w:r>
    </w:p>
    <w:p w14:paraId="4D2FD432" w14:textId="32E93E5D" w:rsid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Cihazın aylık olarak bakımı yetkili servis tarafından yapılır. Her bakım ve onarımdan sonra Bowie-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17F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Pr="00D0117F">
        <w:rPr>
          <w:rFonts w:ascii="Times New Roman" w:hAnsi="Times New Roman" w:cs="Times New Roman"/>
          <w:sz w:val="24"/>
          <w:szCs w:val="24"/>
        </w:rPr>
        <w:t xml:space="preserve"> test, biyolojik indikatör uygulaması yapılır, sonra sterilizasyon işlemine başlanır. Cihaz her yıl kalibre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edilir.</w:t>
      </w:r>
    </w:p>
    <w:p w14:paraId="3949C210" w14:textId="77777777" w:rsidR="00E60DD3" w:rsidRPr="00D0117F" w:rsidRDefault="00E60DD3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C612C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2.4. Kimyasal Biyolojik İndikatörler</w:t>
      </w:r>
    </w:p>
    <w:p w14:paraId="200F111E" w14:textId="3E18BB2A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Haftada 1 kez (pazartesi) uzun etkili biyolojik indikatör kullanılır, her medikal sette de kısa etkili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biyolojik indikatör kullanılır</w:t>
      </w:r>
    </w:p>
    <w:p w14:paraId="7D106D9B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Her çevrimde küme testi konur.</w:t>
      </w:r>
    </w:p>
    <w:p w14:paraId="7EFBE679" w14:textId="27AFF1DB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Her paket içerisine uygun indikatör konulmalıdır</w:t>
      </w:r>
      <w:r w:rsidR="00E60DD3">
        <w:rPr>
          <w:rFonts w:ascii="Times New Roman" w:hAnsi="Times New Roman" w:cs="Times New Roman"/>
          <w:sz w:val="24"/>
          <w:szCs w:val="24"/>
        </w:rPr>
        <w:t>.</w:t>
      </w:r>
    </w:p>
    <w:p w14:paraId="58748420" w14:textId="23DE1D93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♦Bu indikatörler değerlendirildikten sonra sterilizasyon kontrol formları üzerine yapıştırılarak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saklanmalıdır.</w:t>
      </w:r>
    </w:p>
    <w:p w14:paraId="07C3B011" w14:textId="5D9F2CEB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Otoklavlara bakım, onarım, kalibrasyon yapıldıktan sonraki ilk çalıştırmada mutlaka indikatör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konularak biyolojik ölümün gerçekleşip gerçekleşmediği test edilmelidir.</w:t>
      </w:r>
    </w:p>
    <w:p w14:paraId="122967AA" w14:textId="7724E6AF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Biyolojik indikatör buhar otoklavın kapak, köşe ve vakum çıkışları gibi sterilizasyon işleminin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zor gerçekleşeceği düşünülen bir bölgesine yerleştirilmelidir.</w:t>
      </w:r>
    </w:p>
    <w:p w14:paraId="0CA7CA4E" w14:textId="4CD5E7D9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Hızlı sonuç veren biyolojik indikatörlerde </w:t>
      </w:r>
      <w:r w:rsidR="00B7285E">
        <w:rPr>
          <w:rFonts w:ascii="Times New Roman" w:hAnsi="Times New Roman" w:cs="Times New Roman"/>
          <w:sz w:val="24"/>
          <w:szCs w:val="24"/>
        </w:rPr>
        <w:t>1</w:t>
      </w:r>
      <w:r w:rsidRPr="00D0117F">
        <w:rPr>
          <w:rFonts w:ascii="Times New Roman" w:hAnsi="Times New Roman" w:cs="Times New Roman"/>
          <w:sz w:val="24"/>
          <w:szCs w:val="24"/>
        </w:rPr>
        <w:t xml:space="preserve"> saat sonra biyolojik ölümün gerçekleşip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 xml:space="preserve">gerçekleşmediği tespit edilmeli, pozitif ise hangi sterilizatörün, hangi çevriminde üreme </w:t>
      </w:r>
      <w:r w:rsidRPr="00D0117F">
        <w:rPr>
          <w:rFonts w:ascii="Times New Roman" w:hAnsi="Times New Roman" w:cs="Times New Roman"/>
          <w:sz w:val="24"/>
          <w:szCs w:val="24"/>
        </w:rPr>
        <w:lastRenderedPageBreak/>
        <w:t>olduysa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malzemeler toplanmalı, paketler açılmalı ve malzemeler en baştan işleme alınmalıdır. Olaya ilişkin tüm seri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numaraları, tarihler belirtilmelidir.</w:t>
      </w:r>
    </w:p>
    <w:p w14:paraId="1C08D519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Tüm kimyasal, biyolojik indikatör ve Bowie-Dick test sonuçları kaydedilir, arşivlenir.</w:t>
      </w:r>
    </w:p>
    <w:p w14:paraId="590ECEE1" w14:textId="6C39A901" w:rsid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Otoklav konteyner etiketleri, kontrol numarası (çevrim sayısı, sterilizatör, </w:t>
      </w:r>
      <w:r w:rsidR="008A0A05" w:rsidRPr="00D0117F">
        <w:rPr>
          <w:rFonts w:ascii="Times New Roman" w:hAnsi="Times New Roman" w:cs="Times New Roman"/>
          <w:sz w:val="24"/>
          <w:szCs w:val="24"/>
        </w:rPr>
        <w:t>tarih)</w:t>
      </w:r>
      <w:r w:rsidRPr="00D0117F">
        <w:rPr>
          <w:rFonts w:ascii="Times New Roman" w:hAnsi="Times New Roman" w:cs="Times New Roman"/>
          <w:sz w:val="24"/>
          <w:szCs w:val="24"/>
        </w:rPr>
        <w:t xml:space="preserve"> kayıtları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tutulmalıdır</w:t>
      </w:r>
      <w:r w:rsidR="008A0A05">
        <w:rPr>
          <w:rFonts w:ascii="Times New Roman" w:hAnsi="Times New Roman" w:cs="Times New Roman"/>
          <w:sz w:val="24"/>
          <w:szCs w:val="24"/>
        </w:rPr>
        <w:t>.</w:t>
      </w:r>
    </w:p>
    <w:p w14:paraId="0444AF40" w14:textId="77777777" w:rsidR="008A0A05" w:rsidRPr="00D0117F" w:rsidRDefault="008A0A05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38207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117F">
        <w:rPr>
          <w:rFonts w:ascii="Times New Roman" w:hAnsi="Times New Roman" w:cs="Times New Roman"/>
          <w:b/>
          <w:bCs/>
          <w:sz w:val="24"/>
          <w:szCs w:val="24"/>
        </w:rPr>
        <w:t>2.5. Otoklav Flash Program Kullanım Talimatı</w:t>
      </w:r>
    </w:p>
    <w:p w14:paraId="379D277B" w14:textId="2136F72B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Flash program sadece acil ihtiyaç malzeme esnasında sterilitesi bozulmuş, hastaya hemen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117F">
        <w:rPr>
          <w:rFonts w:ascii="Times New Roman" w:hAnsi="Times New Roman" w:cs="Times New Roman"/>
          <w:sz w:val="24"/>
          <w:szCs w:val="24"/>
        </w:rPr>
        <w:t>kullanılması gereken, yedeği olmayan aletlerin sterilizasyonunda kullanılır.</w:t>
      </w:r>
    </w:p>
    <w:p w14:paraId="23007938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Flash program yedeği olmayan aletlerin paketlenmeden steril edilmesi için kullanılır.</w:t>
      </w:r>
    </w:p>
    <w:p w14:paraId="64372385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Flash program Hepatit ve HIV virüslü hastalara kullanılan malzemeler için asla kullanılmaz.</w:t>
      </w:r>
    </w:p>
    <w:p w14:paraId="325A9EC7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Konteynerler ve paketli materyal </w:t>
      </w:r>
      <w:proofErr w:type="spellStart"/>
      <w:r w:rsidRPr="00D0117F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D0117F">
        <w:rPr>
          <w:rFonts w:ascii="Times New Roman" w:hAnsi="Times New Roman" w:cs="Times New Roman"/>
          <w:sz w:val="24"/>
          <w:szCs w:val="24"/>
        </w:rPr>
        <w:t xml:space="preserve"> programla steril edilmez.</w:t>
      </w:r>
    </w:p>
    <w:p w14:paraId="5989FCA0" w14:textId="77777777" w:rsidR="00D0117F" w:rsidRPr="00D0117F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>♦ Flash program, zaman kazanmak veya ek alet/set teminine alternatif olarak kullanılamaz.</w:t>
      </w:r>
    </w:p>
    <w:p w14:paraId="19A64E24" w14:textId="1DAD7924" w:rsidR="00291B1D" w:rsidRPr="004A4B85" w:rsidRDefault="00D0117F" w:rsidP="00D01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17F">
        <w:rPr>
          <w:rFonts w:ascii="Times New Roman" w:hAnsi="Times New Roman" w:cs="Times New Roman"/>
          <w:sz w:val="24"/>
          <w:szCs w:val="24"/>
        </w:rPr>
        <w:t xml:space="preserve">♦ Her yükte mutlaka </w:t>
      </w:r>
      <w:proofErr w:type="spellStart"/>
      <w:r w:rsidRPr="00D0117F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D0117F">
        <w:rPr>
          <w:rFonts w:ascii="Times New Roman" w:hAnsi="Times New Roman" w:cs="Times New Roman"/>
          <w:sz w:val="24"/>
          <w:szCs w:val="24"/>
        </w:rPr>
        <w:t xml:space="preserve"> indikatör kullanılır, biyolojik kontrolleri mutlaka yapılır.</w:t>
      </w:r>
    </w:p>
    <w:sectPr w:rsidR="00291B1D" w:rsidRPr="004A4B85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AA9C" w14:textId="77777777" w:rsidR="001C6755" w:rsidRDefault="001C6755" w:rsidP="00413AEE">
      <w:pPr>
        <w:spacing w:after="0" w:line="240" w:lineRule="auto"/>
      </w:pPr>
      <w:r>
        <w:separator/>
      </w:r>
    </w:p>
  </w:endnote>
  <w:endnote w:type="continuationSeparator" w:id="0">
    <w:p w14:paraId="01BF2EEA" w14:textId="77777777" w:rsidR="001C6755" w:rsidRDefault="001C6755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1C9CF" w14:textId="77777777" w:rsidR="001C6755" w:rsidRDefault="001C6755" w:rsidP="00413AEE">
      <w:pPr>
        <w:spacing w:after="0" w:line="240" w:lineRule="auto"/>
      </w:pPr>
      <w:r>
        <w:separator/>
      </w:r>
    </w:p>
  </w:footnote>
  <w:footnote w:type="continuationSeparator" w:id="0">
    <w:p w14:paraId="3E622790" w14:textId="77777777" w:rsidR="001C6755" w:rsidRDefault="001C6755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71552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1D9CF96A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0117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316A8960" w:rsidR="00AE722C" w:rsidRPr="00EF0D5A" w:rsidRDefault="004A4B85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97D2C2B" w14:textId="30962DE9" w:rsidR="00D0117F" w:rsidRPr="00D0117F" w:rsidRDefault="00D0117F" w:rsidP="00D011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0117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OTOKLAV CİHAZI KULLANIM–YÜKLEME </w:t>
          </w:r>
          <w:proofErr w:type="spellStart"/>
          <w:r w:rsidRPr="00D0117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ve</w:t>
          </w:r>
          <w:proofErr w:type="spellEnd"/>
        </w:p>
        <w:p w14:paraId="2A3C374C" w14:textId="2214357B" w:rsidR="00D766AF" w:rsidRPr="00EE7183" w:rsidRDefault="00D0117F" w:rsidP="00D0117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0117F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BAKIM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2AD03D01" w:rsidR="00AE722C" w:rsidRPr="00EF0D5A" w:rsidRDefault="004A4B85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30FD020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A4B8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298"/>
    <w:multiLevelType w:val="hybridMultilevel"/>
    <w:tmpl w:val="D3C85E50"/>
    <w:lvl w:ilvl="0" w:tplc="CD04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1F1C"/>
    <w:multiLevelType w:val="hybridMultilevel"/>
    <w:tmpl w:val="7E0C00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3120"/>
    <w:multiLevelType w:val="hybridMultilevel"/>
    <w:tmpl w:val="CABC2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595E"/>
    <w:multiLevelType w:val="hybridMultilevel"/>
    <w:tmpl w:val="6FB4B64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CF1390"/>
    <w:multiLevelType w:val="hybridMultilevel"/>
    <w:tmpl w:val="70AA98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85E0E"/>
    <w:multiLevelType w:val="hybridMultilevel"/>
    <w:tmpl w:val="F12A8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D69A8"/>
    <w:multiLevelType w:val="hybridMultilevel"/>
    <w:tmpl w:val="B516B880"/>
    <w:lvl w:ilvl="0" w:tplc="CD048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62570"/>
    <w:multiLevelType w:val="hybridMultilevel"/>
    <w:tmpl w:val="FA2AC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6"/>
  </w:num>
  <w:num w:numId="2" w16cid:durableId="763451095">
    <w:abstractNumId w:val="9"/>
  </w:num>
  <w:num w:numId="3" w16cid:durableId="493306111">
    <w:abstractNumId w:val="8"/>
  </w:num>
  <w:num w:numId="4" w16cid:durableId="956178903">
    <w:abstractNumId w:val="14"/>
  </w:num>
  <w:num w:numId="5" w16cid:durableId="1041201645">
    <w:abstractNumId w:val="10"/>
  </w:num>
  <w:num w:numId="6" w16cid:durableId="357197961">
    <w:abstractNumId w:val="0"/>
  </w:num>
  <w:num w:numId="7" w16cid:durableId="1028995286">
    <w:abstractNumId w:val="5"/>
  </w:num>
  <w:num w:numId="8" w16cid:durableId="1319337139">
    <w:abstractNumId w:val="7"/>
  </w:num>
  <w:num w:numId="9" w16cid:durableId="1294100513">
    <w:abstractNumId w:val="15"/>
  </w:num>
  <w:num w:numId="10" w16cid:durableId="1937708107">
    <w:abstractNumId w:val="3"/>
  </w:num>
  <w:num w:numId="11" w16cid:durableId="109978567">
    <w:abstractNumId w:val="6"/>
  </w:num>
  <w:num w:numId="12" w16cid:durableId="1943957313">
    <w:abstractNumId w:val="11"/>
  </w:num>
  <w:num w:numId="13" w16cid:durableId="1476214827">
    <w:abstractNumId w:val="12"/>
  </w:num>
  <w:num w:numId="14" w16cid:durableId="1962375355">
    <w:abstractNumId w:val="13"/>
  </w:num>
  <w:num w:numId="15" w16cid:durableId="1896351294">
    <w:abstractNumId w:val="2"/>
  </w:num>
  <w:num w:numId="16" w16cid:durableId="2079747866">
    <w:abstractNumId w:val="19"/>
  </w:num>
  <w:num w:numId="17" w16cid:durableId="1096369704">
    <w:abstractNumId w:val="4"/>
  </w:num>
  <w:num w:numId="18" w16cid:durableId="119111411">
    <w:abstractNumId w:val="17"/>
  </w:num>
  <w:num w:numId="19" w16cid:durableId="553928640">
    <w:abstractNumId w:val="18"/>
  </w:num>
  <w:num w:numId="20" w16cid:durableId="20708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0216E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B128B"/>
    <w:rsid w:val="001C6755"/>
    <w:rsid w:val="001F5224"/>
    <w:rsid w:val="00204DDC"/>
    <w:rsid w:val="0021487C"/>
    <w:rsid w:val="0023287A"/>
    <w:rsid w:val="0023696E"/>
    <w:rsid w:val="0028492D"/>
    <w:rsid w:val="00287558"/>
    <w:rsid w:val="00291B1D"/>
    <w:rsid w:val="002A1582"/>
    <w:rsid w:val="002A32D2"/>
    <w:rsid w:val="002E4E24"/>
    <w:rsid w:val="002E79A9"/>
    <w:rsid w:val="003032E4"/>
    <w:rsid w:val="00303C65"/>
    <w:rsid w:val="00334747"/>
    <w:rsid w:val="003348BD"/>
    <w:rsid w:val="00337446"/>
    <w:rsid w:val="00346C4D"/>
    <w:rsid w:val="0037649C"/>
    <w:rsid w:val="003A7DD5"/>
    <w:rsid w:val="003F6899"/>
    <w:rsid w:val="00413AEE"/>
    <w:rsid w:val="004229E9"/>
    <w:rsid w:val="004253DB"/>
    <w:rsid w:val="00436DA6"/>
    <w:rsid w:val="00445792"/>
    <w:rsid w:val="00451963"/>
    <w:rsid w:val="00452071"/>
    <w:rsid w:val="00467B34"/>
    <w:rsid w:val="0047132E"/>
    <w:rsid w:val="004714D3"/>
    <w:rsid w:val="004A4B85"/>
    <w:rsid w:val="004C3935"/>
    <w:rsid w:val="004D270F"/>
    <w:rsid w:val="005254EB"/>
    <w:rsid w:val="00533807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0429E"/>
    <w:rsid w:val="007144CB"/>
    <w:rsid w:val="00732014"/>
    <w:rsid w:val="0073241A"/>
    <w:rsid w:val="00743498"/>
    <w:rsid w:val="00747D26"/>
    <w:rsid w:val="007643DF"/>
    <w:rsid w:val="00783DCA"/>
    <w:rsid w:val="00790987"/>
    <w:rsid w:val="00791D4A"/>
    <w:rsid w:val="007928BF"/>
    <w:rsid w:val="007C3472"/>
    <w:rsid w:val="007D2417"/>
    <w:rsid w:val="00813F37"/>
    <w:rsid w:val="00821097"/>
    <w:rsid w:val="00832CD9"/>
    <w:rsid w:val="008478F8"/>
    <w:rsid w:val="00864835"/>
    <w:rsid w:val="0088679D"/>
    <w:rsid w:val="008A0A05"/>
    <w:rsid w:val="008A2E12"/>
    <w:rsid w:val="008C6418"/>
    <w:rsid w:val="008E654C"/>
    <w:rsid w:val="00937037"/>
    <w:rsid w:val="009420BB"/>
    <w:rsid w:val="00983486"/>
    <w:rsid w:val="009E785F"/>
    <w:rsid w:val="00A00DB0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24C70"/>
    <w:rsid w:val="00B40DAF"/>
    <w:rsid w:val="00B57B12"/>
    <w:rsid w:val="00B7216D"/>
    <w:rsid w:val="00B7285E"/>
    <w:rsid w:val="00BC2761"/>
    <w:rsid w:val="00BC462C"/>
    <w:rsid w:val="00BE395A"/>
    <w:rsid w:val="00C024C3"/>
    <w:rsid w:val="00C23D15"/>
    <w:rsid w:val="00C4401B"/>
    <w:rsid w:val="00C44A8D"/>
    <w:rsid w:val="00C56320"/>
    <w:rsid w:val="00C64703"/>
    <w:rsid w:val="00C85571"/>
    <w:rsid w:val="00CB735A"/>
    <w:rsid w:val="00CC4B12"/>
    <w:rsid w:val="00CD0903"/>
    <w:rsid w:val="00CD4E2B"/>
    <w:rsid w:val="00CF55BC"/>
    <w:rsid w:val="00D0117F"/>
    <w:rsid w:val="00D06326"/>
    <w:rsid w:val="00D17FDF"/>
    <w:rsid w:val="00D54842"/>
    <w:rsid w:val="00D65204"/>
    <w:rsid w:val="00D72843"/>
    <w:rsid w:val="00D766AF"/>
    <w:rsid w:val="00D91E76"/>
    <w:rsid w:val="00DB7521"/>
    <w:rsid w:val="00DC5FA8"/>
    <w:rsid w:val="00E0389E"/>
    <w:rsid w:val="00E12BC2"/>
    <w:rsid w:val="00E16E38"/>
    <w:rsid w:val="00E24D9F"/>
    <w:rsid w:val="00E26458"/>
    <w:rsid w:val="00E60DD3"/>
    <w:rsid w:val="00E80293"/>
    <w:rsid w:val="00E81BFF"/>
    <w:rsid w:val="00EC7BC4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077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NURTEN SAYI</cp:lastModifiedBy>
  <cp:revision>14</cp:revision>
  <cp:lastPrinted>2019-12-20T13:38:00Z</cp:lastPrinted>
  <dcterms:created xsi:type="dcterms:W3CDTF">2024-08-21T12:09:00Z</dcterms:created>
  <dcterms:modified xsi:type="dcterms:W3CDTF">2024-08-22T11:42:00Z</dcterms:modified>
</cp:coreProperties>
</file>