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804E" w14:textId="77777777" w:rsidR="00B2623B" w:rsidRDefault="00B2623B" w:rsidP="00B00F4D">
      <w:pPr>
        <w:ind w:left="360" w:hanging="360"/>
      </w:pPr>
    </w:p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6"/>
        <w:gridCol w:w="1843"/>
        <w:gridCol w:w="1276"/>
      </w:tblGrid>
      <w:tr w:rsidR="00B2623B" w:rsidRPr="00B2623B" w14:paraId="41755479" w14:textId="77777777" w:rsidTr="00156EED">
        <w:trPr>
          <w:trHeight w:hRule="exact" w:val="338"/>
        </w:trPr>
        <w:tc>
          <w:tcPr>
            <w:tcW w:w="7356" w:type="dxa"/>
            <w:vMerge w:val="restart"/>
          </w:tcPr>
          <w:p w14:paraId="37AE2D0B" w14:textId="77777777" w:rsidR="00B2623B" w:rsidRPr="00B2623B" w:rsidRDefault="00B2623B" w:rsidP="00B2623B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  <w:p w14:paraId="3002D371" w14:textId="77777777" w:rsidR="00B2623B" w:rsidRPr="00B2623B" w:rsidRDefault="00B2623B" w:rsidP="00B2623B">
            <w:pPr>
              <w:spacing w:after="0" w:line="20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B2623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tr-T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0F2F4451" wp14:editId="235C9EA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7664B9" w14:textId="7FF3AC72" w:rsidR="00B2623B" w:rsidRPr="00B2623B" w:rsidRDefault="00B2623B" w:rsidP="00E35A01">
            <w:pPr>
              <w:spacing w:after="0" w:line="200" w:lineRule="exact"/>
              <w:ind w:left="-30" w:firstLine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  <w:r w:rsidRPr="00B2623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 xml:space="preserve">Alanya Alaaddin Keykubat </w:t>
            </w:r>
            <w:r w:rsidR="000F693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Ü</w:t>
            </w:r>
            <w:r w:rsidRPr="00B2623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niversitesi</w:t>
            </w:r>
          </w:p>
          <w:p w14:paraId="140302C6" w14:textId="77777777" w:rsidR="00B2623B" w:rsidRPr="00B2623B" w:rsidRDefault="00B2623B" w:rsidP="00E35A01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B2623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Diş Hekimliği Uygulama ve Araştırma Merkezi</w:t>
            </w:r>
          </w:p>
          <w:p w14:paraId="528E1941" w14:textId="77777777" w:rsidR="00B2623B" w:rsidRPr="00B2623B" w:rsidRDefault="00B2623B" w:rsidP="00E35A01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  <w:p w14:paraId="303373C0" w14:textId="30D737BB" w:rsidR="00B2623B" w:rsidRPr="00B2623B" w:rsidRDefault="00E35A01" w:rsidP="00E35A01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</w:pPr>
            <w:proofErr w:type="spellStart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İlaç</w:t>
            </w:r>
            <w:proofErr w:type="spellEnd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r w:rsidR="00BC05E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v</w:t>
            </w:r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e </w:t>
            </w:r>
            <w:proofErr w:type="spellStart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Tibbi</w:t>
            </w:r>
            <w:proofErr w:type="spellEnd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Sarf</w:t>
            </w:r>
            <w:proofErr w:type="spellEnd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Malzeme</w:t>
            </w:r>
            <w:proofErr w:type="spellEnd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İade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E35A0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Talimat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tr-TR"/>
                <w14:ligatures w14:val="none"/>
              </w:rPr>
              <w:t>ı</w:t>
            </w:r>
            <w:proofErr w:type="spellEnd"/>
          </w:p>
        </w:tc>
        <w:tc>
          <w:tcPr>
            <w:tcW w:w="1843" w:type="dxa"/>
          </w:tcPr>
          <w:p w14:paraId="40EC5A3A" w14:textId="77777777" w:rsidR="00B2623B" w:rsidRPr="00B2623B" w:rsidRDefault="00B2623B" w:rsidP="00B2623B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D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k</w:t>
            </w:r>
            <w:r w:rsidRPr="00B2623B">
              <w:rPr>
                <w:rFonts w:ascii="Times New Roman" w:eastAsia="Times New Roman" w:hAnsi="Times New Roman" w:cs="Times New Roman"/>
                <w:spacing w:val="2"/>
                <w:kern w:val="0"/>
                <w:lang w:val="en-US" w:eastAsia="tr-TR"/>
                <w14:ligatures w14:val="none"/>
              </w:rPr>
              <w:t>ü</w:t>
            </w:r>
            <w:r w:rsidRPr="00B2623B">
              <w:rPr>
                <w:rFonts w:ascii="Times New Roman" w:eastAsia="Times New Roman" w:hAnsi="Times New Roman" w:cs="Times New Roman"/>
                <w:spacing w:val="-4"/>
                <w:kern w:val="0"/>
                <w:lang w:val="en-US" w:eastAsia="tr-TR"/>
                <w14:ligatures w14:val="none"/>
              </w:rPr>
              <w:t>m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an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76" w:type="dxa"/>
          </w:tcPr>
          <w:p w14:paraId="464E35DE" w14:textId="35AF5C05" w:rsidR="00B2623B" w:rsidRPr="00B2623B" w:rsidRDefault="00B2623B" w:rsidP="00B2623B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SİY.</w:t>
            </w:r>
            <w:r w:rsidR="00A01F7A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TL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.0</w:t>
            </w:r>
            <w:r w:rsidR="00A01F7A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9</w:t>
            </w:r>
          </w:p>
        </w:tc>
      </w:tr>
      <w:tr w:rsidR="00B2623B" w:rsidRPr="00B2623B" w14:paraId="6256E381" w14:textId="77777777" w:rsidTr="00156EED">
        <w:trPr>
          <w:trHeight w:hRule="exact" w:val="338"/>
        </w:trPr>
        <w:tc>
          <w:tcPr>
            <w:tcW w:w="7356" w:type="dxa"/>
            <w:vMerge/>
          </w:tcPr>
          <w:p w14:paraId="4D368318" w14:textId="77777777"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3F500117" w14:textId="77777777" w:rsidR="00B2623B" w:rsidRPr="00B2623B" w:rsidRDefault="00B2623B" w:rsidP="00B2623B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Y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ı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n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h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i</w:t>
            </w:r>
            <w:proofErr w:type="spellEnd"/>
          </w:p>
        </w:tc>
        <w:tc>
          <w:tcPr>
            <w:tcW w:w="1276" w:type="dxa"/>
          </w:tcPr>
          <w:p w14:paraId="7B46B33B" w14:textId="0AA46CB1" w:rsidR="00B2623B" w:rsidRPr="00B2623B" w:rsidRDefault="00B2623B" w:rsidP="00B2623B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r w:rsidR="00A01F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 w:eastAsia="tr-TR"/>
                <w14:ligatures w14:val="none"/>
              </w:rPr>
              <w:t>03.05.2023</w:t>
            </w:r>
          </w:p>
        </w:tc>
      </w:tr>
      <w:tr w:rsidR="00B2623B" w:rsidRPr="00B2623B" w14:paraId="798A55D4" w14:textId="77777777" w:rsidTr="00156EED">
        <w:trPr>
          <w:trHeight w:hRule="exact" w:val="336"/>
        </w:trPr>
        <w:tc>
          <w:tcPr>
            <w:tcW w:w="7356" w:type="dxa"/>
            <w:vMerge/>
          </w:tcPr>
          <w:p w14:paraId="3A62BC7B" w14:textId="77777777"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78E594BF" w14:textId="77777777" w:rsidR="00B2623B" w:rsidRPr="00B2623B" w:rsidRDefault="00B2623B" w:rsidP="00B2623B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on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T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hi</w:t>
            </w:r>
            <w:proofErr w:type="spellEnd"/>
          </w:p>
        </w:tc>
        <w:tc>
          <w:tcPr>
            <w:tcW w:w="1276" w:type="dxa"/>
          </w:tcPr>
          <w:p w14:paraId="1A8849F7" w14:textId="13E60C3A" w:rsidR="00B2623B" w:rsidRPr="00B2623B" w:rsidRDefault="00B2623B" w:rsidP="00B2623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</w:p>
        </w:tc>
      </w:tr>
      <w:tr w:rsidR="00B2623B" w:rsidRPr="00B2623B" w14:paraId="6C688129" w14:textId="77777777" w:rsidTr="00156EED">
        <w:trPr>
          <w:trHeight w:hRule="exact" w:val="339"/>
        </w:trPr>
        <w:tc>
          <w:tcPr>
            <w:tcW w:w="7356" w:type="dxa"/>
            <w:vMerge/>
          </w:tcPr>
          <w:p w14:paraId="4B0BA2B2" w14:textId="77777777"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186D6A19" w14:textId="77777777" w:rsidR="00B2623B" w:rsidRPr="00B2623B" w:rsidRDefault="00B2623B" w:rsidP="00B2623B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R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e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v</w:t>
            </w:r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i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z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on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 xml:space="preserve"> </w:t>
            </w:r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76" w:type="dxa"/>
          </w:tcPr>
          <w:p w14:paraId="388BF5FB" w14:textId="45FE28B9" w:rsidR="00B2623B" w:rsidRPr="00B2623B" w:rsidRDefault="00A01F7A" w:rsidP="00B2623B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00</w:t>
            </w:r>
          </w:p>
        </w:tc>
      </w:tr>
      <w:tr w:rsidR="00B2623B" w:rsidRPr="00B2623B" w14:paraId="664F66FF" w14:textId="77777777" w:rsidTr="00156EED">
        <w:trPr>
          <w:trHeight w:hRule="exact" w:val="384"/>
        </w:trPr>
        <w:tc>
          <w:tcPr>
            <w:tcW w:w="7356" w:type="dxa"/>
            <w:vMerge/>
          </w:tcPr>
          <w:p w14:paraId="00300014" w14:textId="77777777"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tr-TR"/>
                <w14:ligatures w14:val="none"/>
              </w:rPr>
            </w:pPr>
          </w:p>
        </w:tc>
        <w:tc>
          <w:tcPr>
            <w:tcW w:w="1843" w:type="dxa"/>
          </w:tcPr>
          <w:p w14:paraId="4C7FAE3F" w14:textId="77777777" w:rsidR="00B2623B" w:rsidRPr="00B2623B" w:rsidRDefault="00B2623B" w:rsidP="00B2623B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Sa</w:t>
            </w:r>
            <w:r w:rsidRPr="00B2623B">
              <w:rPr>
                <w:rFonts w:ascii="Times New Roman" w:eastAsia="Times New Roman" w:hAnsi="Times New Roman" w:cs="Times New Roman"/>
                <w:spacing w:val="-2"/>
                <w:kern w:val="0"/>
                <w:lang w:val="en-US" w:eastAsia="tr-TR"/>
                <w14:ligatures w14:val="none"/>
              </w:rPr>
              <w:t>y</w:t>
            </w:r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>f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a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spacing w:val="1"/>
                <w:kern w:val="0"/>
                <w:lang w:val="en-US" w:eastAsia="tr-TR"/>
                <w14:ligatures w14:val="none"/>
              </w:rPr>
              <w:t xml:space="preserve"> </w:t>
            </w:r>
            <w:r w:rsidRPr="00B2623B">
              <w:rPr>
                <w:rFonts w:ascii="Times New Roman" w:eastAsia="Times New Roman" w:hAnsi="Times New Roman" w:cs="Times New Roman"/>
                <w:spacing w:val="-1"/>
                <w:kern w:val="0"/>
                <w:lang w:val="en-US" w:eastAsia="tr-TR"/>
                <w14:ligatures w14:val="none"/>
              </w:rPr>
              <w:t>N</w:t>
            </w: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o.</w:t>
            </w:r>
          </w:p>
        </w:tc>
        <w:tc>
          <w:tcPr>
            <w:tcW w:w="1276" w:type="dxa"/>
          </w:tcPr>
          <w:p w14:paraId="594C7C74" w14:textId="77777777" w:rsidR="00B2623B" w:rsidRPr="00B2623B" w:rsidRDefault="00B2623B" w:rsidP="00B2623B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</w:pPr>
            <w:r w:rsidRPr="00B2623B">
              <w:rPr>
                <w:rFonts w:ascii="Times New Roman" w:eastAsia="Times New Roman" w:hAnsi="Times New Roman" w:cs="Times New Roman"/>
                <w:kern w:val="0"/>
                <w:lang w:val="en-US" w:eastAsia="tr-TR"/>
                <w14:ligatures w14:val="none"/>
              </w:rPr>
              <w:t>1/1</w:t>
            </w:r>
          </w:p>
        </w:tc>
      </w:tr>
    </w:tbl>
    <w:p w14:paraId="3CCE3834" w14:textId="77777777" w:rsidR="00B00F4D" w:rsidRPr="00083280" w:rsidRDefault="00B00F4D" w:rsidP="00B2623B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083280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14:paraId="48143A2A" w14:textId="7ED794F6" w:rsidR="00B00F4D" w:rsidRPr="00083280" w:rsidRDefault="00B00F4D" w:rsidP="00B2623B">
      <w:pPr>
        <w:ind w:left="-709"/>
        <w:rPr>
          <w:rFonts w:ascii="Times New Roman" w:hAnsi="Times New Roman" w:cs="Times New Roman"/>
          <w:sz w:val="24"/>
          <w:szCs w:val="24"/>
        </w:rPr>
      </w:pPr>
      <w:r w:rsidRPr="00083280">
        <w:rPr>
          <w:rFonts w:ascii="Times New Roman" w:hAnsi="Times New Roman" w:cs="Times New Roman"/>
          <w:sz w:val="24"/>
          <w:szCs w:val="24"/>
        </w:rPr>
        <w:t xml:space="preserve">Tüketimi olmayan/kullanılmayan ilaçların ve tıbbi sarf </w:t>
      </w:r>
      <w:proofErr w:type="gramStart"/>
      <w:r w:rsidRPr="00083280">
        <w:rPr>
          <w:rFonts w:ascii="Times New Roman" w:hAnsi="Times New Roman" w:cs="Times New Roman"/>
          <w:sz w:val="24"/>
          <w:szCs w:val="24"/>
        </w:rPr>
        <w:t>malzemelerin,  Taşınır</w:t>
      </w:r>
      <w:proofErr w:type="gramEnd"/>
      <w:r w:rsidRPr="00083280">
        <w:rPr>
          <w:rFonts w:ascii="Times New Roman" w:hAnsi="Times New Roman" w:cs="Times New Roman"/>
          <w:sz w:val="24"/>
          <w:szCs w:val="24"/>
        </w:rPr>
        <w:t xml:space="preserve"> Birimine (</w:t>
      </w:r>
      <w:r w:rsidR="006D1050">
        <w:rPr>
          <w:rFonts w:ascii="Times New Roman" w:hAnsi="Times New Roman" w:cs="Times New Roman"/>
          <w:sz w:val="24"/>
          <w:szCs w:val="24"/>
        </w:rPr>
        <w:t>tıbbi sarf depoya )</w:t>
      </w:r>
      <w:r w:rsidRPr="00083280">
        <w:rPr>
          <w:rFonts w:ascii="Times New Roman" w:hAnsi="Times New Roman" w:cs="Times New Roman"/>
          <w:sz w:val="24"/>
          <w:szCs w:val="24"/>
        </w:rPr>
        <w:t xml:space="preserve"> uygun koşullarda iadesini sağlamaktır.</w:t>
      </w:r>
    </w:p>
    <w:p w14:paraId="373D4A4E" w14:textId="29316E66" w:rsidR="00B00F4D" w:rsidRDefault="00B00F4D" w:rsidP="00B2623B">
      <w:pPr>
        <w:ind w:left="-709"/>
        <w:rPr>
          <w:rFonts w:ascii="Times New Roman" w:hAnsi="Times New Roman" w:cs="Times New Roman"/>
          <w:sz w:val="24"/>
          <w:szCs w:val="24"/>
        </w:rPr>
      </w:pPr>
      <w:r w:rsidRPr="00083280">
        <w:rPr>
          <w:rFonts w:ascii="Times New Roman" w:hAnsi="Times New Roman" w:cs="Times New Roman"/>
          <w:b/>
          <w:bCs/>
          <w:sz w:val="24"/>
          <w:szCs w:val="24"/>
        </w:rPr>
        <w:t>2. KAPSAM</w:t>
      </w:r>
      <w:r w:rsidR="00435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D1050">
        <w:rPr>
          <w:rFonts w:ascii="Times New Roman" w:hAnsi="Times New Roman" w:cs="Times New Roman"/>
          <w:sz w:val="24"/>
          <w:szCs w:val="24"/>
        </w:rPr>
        <w:t>Kurumun</w:t>
      </w:r>
      <w:r w:rsidRPr="00083280">
        <w:rPr>
          <w:rFonts w:ascii="Times New Roman" w:hAnsi="Times New Roman" w:cs="Times New Roman"/>
          <w:sz w:val="24"/>
          <w:szCs w:val="24"/>
        </w:rPr>
        <w:t xml:space="preserve"> tüm birimlerinde bulunan ilaçların ve tıbbi sarf malzemelerin iadesinin yönetimini</w:t>
      </w:r>
      <w:r w:rsidR="00B2623B" w:rsidRPr="00083280">
        <w:rPr>
          <w:rFonts w:ascii="Times New Roman" w:hAnsi="Times New Roman" w:cs="Times New Roman"/>
          <w:sz w:val="24"/>
          <w:szCs w:val="24"/>
        </w:rPr>
        <w:t xml:space="preserve"> </w:t>
      </w:r>
      <w:r w:rsidRPr="00083280">
        <w:rPr>
          <w:rFonts w:ascii="Times New Roman" w:hAnsi="Times New Roman" w:cs="Times New Roman"/>
          <w:sz w:val="24"/>
          <w:szCs w:val="24"/>
        </w:rPr>
        <w:t>kapsar.</w:t>
      </w:r>
    </w:p>
    <w:p w14:paraId="32D9CE8C" w14:textId="6865094E" w:rsidR="006D1050" w:rsidRPr="00083280" w:rsidRDefault="006D1050" w:rsidP="006D1050">
      <w:pPr>
        <w:ind w:left="-709"/>
        <w:rPr>
          <w:rFonts w:ascii="Times New Roman" w:hAnsi="Times New Roman" w:cs="Times New Roman"/>
          <w:sz w:val="24"/>
          <w:szCs w:val="24"/>
        </w:rPr>
      </w:pPr>
      <w:r w:rsidRPr="00083280">
        <w:rPr>
          <w:rFonts w:ascii="Times New Roman" w:hAnsi="Times New Roman" w:cs="Times New Roman"/>
          <w:b/>
          <w:bCs/>
          <w:sz w:val="24"/>
          <w:szCs w:val="24"/>
        </w:rPr>
        <w:t>4. SORUMLULAR</w:t>
      </w:r>
      <w:r w:rsidR="00435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83280">
        <w:rPr>
          <w:rFonts w:ascii="Times New Roman" w:hAnsi="Times New Roman" w:cs="Times New Roman"/>
          <w:sz w:val="24"/>
          <w:szCs w:val="24"/>
        </w:rPr>
        <w:t>Tüm birim/bölümler ve çalışanlar sorumludur</w:t>
      </w:r>
      <w:r w:rsidR="0043516D">
        <w:rPr>
          <w:rFonts w:ascii="Times New Roman" w:hAnsi="Times New Roman" w:cs="Times New Roman"/>
          <w:sz w:val="24"/>
          <w:szCs w:val="24"/>
        </w:rPr>
        <w:t>.</w:t>
      </w:r>
    </w:p>
    <w:p w14:paraId="49296369" w14:textId="72F4AF0C" w:rsidR="006D1050" w:rsidRPr="00083280" w:rsidRDefault="00B00F4D" w:rsidP="00B2623B">
      <w:pPr>
        <w:ind w:left="-709"/>
        <w:rPr>
          <w:rFonts w:ascii="Times New Roman" w:hAnsi="Times New Roman" w:cs="Times New Roman"/>
          <w:sz w:val="24"/>
          <w:szCs w:val="24"/>
        </w:rPr>
      </w:pPr>
      <w:r w:rsidRPr="0008328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D1050">
        <w:rPr>
          <w:rFonts w:ascii="Times New Roman" w:hAnsi="Times New Roman" w:cs="Times New Roman"/>
          <w:b/>
          <w:bCs/>
          <w:sz w:val="24"/>
          <w:szCs w:val="24"/>
        </w:rPr>
        <w:t>TANIMLAR</w:t>
      </w:r>
      <w:r w:rsidR="00435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83280">
        <w:rPr>
          <w:rFonts w:ascii="Times New Roman" w:hAnsi="Times New Roman" w:cs="Times New Roman"/>
          <w:sz w:val="24"/>
          <w:szCs w:val="24"/>
        </w:rPr>
        <w:t xml:space="preserve"> HBYS: Hastane Bilgi Yönetim Sistemi</w:t>
      </w:r>
    </w:p>
    <w:p w14:paraId="15B512B1" w14:textId="77777777" w:rsidR="00B00F4D" w:rsidRPr="006D1050" w:rsidRDefault="00B00F4D" w:rsidP="00B2623B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6D1050">
        <w:rPr>
          <w:rFonts w:ascii="Times New Roman" w:hAnsi="Times New Roman" w:cs="Times New Roman"/>
          <w:b/>
          <w:bCs/>
          <w:sz w:val="24"/>
          <w:szCs w:val="24"/>
        </w:rPr>
        <w:t>5. FAALİYET AKIŞI</w:t>
      </w:r>
    </w:p>
    <w:p w14:paraId="707FA3D4" w14:textId="304893C4" w:rsidR="00B00F4D" w:rsidRPr="00E14837" w:rsidRDefault="00B00F4D" w:rsidP="00B2623B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0F6938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Fazla,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kullanılmayan</w:t>
      </w:r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, miadı yaklaşan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ilaçlar ilgili birim sorumlusu tarafından tespit edilerek, “İlaç ve Tıbbi Sarf Malzeme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İade Formu”</w:t>
      </w:r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</w:t>
      </w:r>
      <w:r w:rsidR="0043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aşınır</w:t>
      </w:r>
      <w:proofErr w:type="gramEnd"/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Birimine (</w:t>
      </w:r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tıbbi sarf depoya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imza karşılığında teslim edilir.</w:t>
      </w:r>
    </w:p>
    <w:p w14:paraId="21189020" w14:textId="65569382" w:rsidR="00B00F4D" w:rsidRPr="00E14837" w:rsidRDefault="00B00F4D" w:rsidP="00B2623B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İade edilen ilaç ve tıbbi sarf malzemeler Taşınır </w:t>
      </w:r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Kayıt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tıbbi sarf depoya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) personeli tarafından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sayılır. İlaçların son kullanma tarihi, hatalı ürün olup olmadığı, ilaçların açılmadığı, serumların koruma poşetinden çıkartılmadığı ve şişe serumların kapaklarının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çıkarılmış olup olmadığı kontrol edilir. Uygun görülen ilaçlar ve tıbbi sarf malzemeler iade alınır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57FB57" w14:textId="43C6277D" w:rsidR="00B00F4D" w:rsidRPr="00E14837" w:rsidRDefault="00B00F4D" w:rsidP="00B2623B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Taşınır kayıt </w:t>
      </w:r>
      <w:r w:rsidR="00F70CE8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görevlisi (tıbbi sarf depoya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) tarafından iade alınan ürünler, ilaç ve tıbbi sarf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malzeme iade formu kontrol edilerek doğrulanır, doğrulama sonrasında HBYS üzerinden ilaç veya tıbbi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sarf malzeme iadesinin kabulü veya giriş ekranından tedarik türüne iade edilen seçilerek giriş yapılır.</w:t>
      </w:r>
    </w:p>
    <w:p w14:paraId="0F639569" w14:textId="7EC5D3E3" w:rsidR="00F70CE8" w:rsidRDefault="00B00F4D" w:rsidP="00A01F7A">
      <w:pPr>
        <w:ind w:left="-709"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Birimlerde tüketimi yavaşlayan veya miadı yaklaşan ürünler ilgili </w:t>
      </w:r>
      <w:r w:rsidR="00F70CE8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klinik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sorumlusu tarafından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tespit edilerek miadın dolmasına 6 ay kala Taşınır Birimine (</w:t>
      </w:r>
      <w:r w:rsidR="00F70CE8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tıbbi sarf depoya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) bildirilir. Bu malzemeleri</w:t>
      </w:r>
      <w:r w:rsidR="00B2623B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tüketiminin çok olduğu birimler varsa bu birimlere devri yapılır veya miadı uzun olan ürün ile değişimi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sağlanır. Eğer miadı yaklaşan ilacın veya tıbbi sarf malzemenin kullanımı sağlanamıyorsa ilaç ve tıbbi</w:t>
      </w:r>
      <w:r w:rsidR="0008328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sarf malzeme iade formu ile Taşınır Birimine (</w:t>
      </w:r>
      <w:r w:rsidR="00F70CE8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tıbbi sarf depoya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teslim </w:t>
      </w:r>
      <w:r w:rsidR="006D105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edilir.                                                                                                                                 </w:t>
      </w:r>
      <w:r w:rsidR="0008328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İade edilen kayıt türü ile sistem üzerinden iadeleri yapılan ürünlerin, </w:t>
      </w:r>
      <w:r w:rsidR="00F70CE8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tıbbi sarf deposu</w:t>
      </w:r>
      <w:r w:rsidR="00083280"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837">
        <w:rPr>
          <w:rFonts w:ascii="Times New Roman" w:hAnsi="Times New Roman" w:cs="Times New Roman"/>
          <w:color w:val="000000" w:themeColor="text1"/>
          <w:sz w:val="24"/>
          <w:szCs w:val="24"/>
        </w:rPr>
        <w:t>tarafından kabulü yapılarak kayıt altına alınır.</w:t>
      </w:r>
      <w:r w:rsidR="00A0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2F306C" w14:textId="77777777" w:rsidR="00511AA7" w:rsidRDefault="00511AA7" w:rsidP="00A01F7A">
      <w:pPr>
        <w:ind w:left="-709"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1DC0A" w14:textId="79D3915D" w:rsidR="00E35A01" w:rsidRPr="00083280" w:rsidRDefault="00A01F7A" w:rsidP="002E7371">
      <w:pPr>
        <w:ind w:left="-709" w:right="1"/>
        <w:rPr>
          <w:rFonts w:ascii="Times New Roman" w:hAnsi="Times New Roman" w:cs="Times New Roman"/>
          <w:sz w:val="24"/>
          <w:szCs w:val="24"/>
        </w:rPr>
      </w:pPr>
      <w:r w:rsidRPr="00A01F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İLGİLİ DOKÜMANLAR                                                                                                                                                                                </w:t>
      </w:r>
      <w:r w:rsidRPr="00156EED">
        <w:rPr>
          <w:rFonts w:ascii="Times New Roman" w:hAnsi="Times New Roman" w:cs="Times New Roman"/>
          <w:sz w:val="24"/>
          <w:szCs w:val="24"/>
        </w:rPr>
        <w:t>Taşınır Mal Yönetmeliğinin 18. ve 19. Maddesi                                                                                                                                                                                       İlaç ve Tıbbi Sarf Malzeme İade Formu</w:t>
      </w:r>
    </w:p>
    <w:p w14:paraId="3C62B78E" w14:textId="3345003F" w:rsidR="00A01F7A" w:rsidRDefault="00A01F7A" w:rsidP="00A01F7A">
      <w:pPr>
        <w:ind w:left="-426" w:right="-709"/>
      </w:pPr>
    </w:p>
    <w:p w14:paraId="362D435F" w14:textId="3E741CA7" w:rsidR="00B00F4D" w:rsidRDefault="00B00F4D" w:rsidP="00E35A01">
      <w:pPr>
        <w:ind w:left="-426" w:right="-709"/>
      </w:pPr>
    </w:p>
    <w:sectPr w:rsidR="00B00F4D" w:rsidSect="00083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7034" w14:textId="77777777" w:rsidR="00780FE2" w:rsidRDefault="00780FE2" w:rsidP="00B2623B">
      <w:pPr>
        <w:spacing w:after="0" w:line="240" w:lineRule="auto"/>
      </w:pPr>
      <w:r>
        <w:separator/>
      </w:r>
    </w:p>
  </w:endnote>
  <w:endnote w:type="continuationSeparator" w:id="0">
    <w:p w14:paraId="15B0C031" w14:textId="77777777" w:rsidR="00780FE2" w:rsidRDefault="00780FE2" w:rsidP="00B2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A0EA" w14:textId="77777777" w:rsidR="000E12E0" w:rsidRDefault="000E12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541A" w14:textId="77777777" w:rsidR="00B2623B" w:rsidRDefault="00B262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B35F" w14:textId="77777777" w:rsidR="000E12E0" w:rsidRDefault="000E12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DA7F" w14:textId="77777777" w:rsidR="00780FE2" w:rsidRDefault="00780FE2" w:rsidP="00B2623B">
      <w:pPr>
        <w:spacing w:after="0" w:line="240" w:lineRule="auto"/>
      </w:pPr>
      <w:r>
        <w:separator/>
      </w:r>
    </w:p>
  </w:footnote>
  <w:footnote w:type="continuationSeparator" w:id="0">
    <w:p w14:paraId="5F5F9448" w14:textId="77777777" w:rsidR="00780FE2" w:rsidRDefault="00780FE2" w:rsidP="00B2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B361" w14:textId="77777777" w:rsidR="000E12E0" w:rsidRDefault="000E12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5006" w14:textId="77777777" w:rsidR="000E12E0" w:rsidRDefault="000E12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126D" w14:textId="77777777" w:rsidR="000E12E0" w:rsidRDefault="000E12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B083D"/>
    <w:multiLevelType w:val="multilevel"/>
    <w:tmpl w:val="2BC228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49627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16"/>
    <w:rsid w:val="00083280"/>
    <w:rsid w:val="000E12E0"/>
    <w:rsid w:val="000F0D63"/>
    <w:rsid w:val="000F6938"/>
    <w:rsid w:val="00156EED"/>
    <w:rsid w:val="001D1E50"/>
    <w:rsid w:val="001F360B"/>
    <w:rsid w:val="002E7371"/>
    <w:rsid w:val="0043516D"/>
    <w:rsid w:val="00511AA7"/>
    <w:rsid w:val="005A425A"/>
    <w:rsid w:val="006D1050"/>
    <w:rsid w:val="00780FE2"/>
    <w:rsid w:val="00A01F7A"/>
    <w:rsid w:val="00A12AB5"/>
    <w:rsid w:val="00B00F4D"/>
    <w:rsid w:val="00B2623B"/>
    <w:rsid w:val="00BB606D"/>
    <w:rsid w:val="00BC05E5"/>
    <w:rsid w:val="00BC1416"/>
    <w:rsid w:val="00C36CCD"/>
    <w:rsid w:val="00D131B3"/>
    <w:rsid w:val="00D332EB"/>
    <w:rsid w:val="00E14837"/>
    <w:rsid w:val="00E35A01"/>
    <w:rsid w:val="00F70CE8"/>
    <w:rsid w:val="00F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575"/>
  <w15:chartTrackingRefBased/>
  <w15:docId w15:val="{2EF92B6E-843E-4568-A5DE-5FF9B168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F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623B"/>
  </w:style>
  <w:style w:type="paragraph" w:styleId="AltBilgi">
    <w:name w:val="footer"/>
    <w:basedOn w:val="Normal"/>
    <w:link w:val="AltBilgiChar"/>
    <w:uiPriority w:val="99"/>
    <w:unhideWhenUsed/>
    <w:rsid w:val="00B2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623B"/>
  </w:style>
  <w:style w:type="table" w:styleId="TabloKlavuzu">
    <w:name w:val="Table Grid"/>
    <w:basedOn w:val="NormalTablo"/>
    <w:uiPriority w:val="39"/>
    <w:rsid w:val="00B2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56E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71</cp:revision>
  <cp:lastPrinted>2023-05-03T10:46:00Z</cp:lastPrinted>
  <dcterms:created xsi:type="dcterms:W3CDTF">2023-04-27T12:10:00Z</dcterms:created>
  <dcterms:modified xsi:type="dcterms:W3CDTF">2023-05-08T11:30:00Z</dcterms:modified>
</cp:coreProperties>
</file>