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7187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1891F6EF" w14:textId="4A3D5005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Fakültemize başvuruda bulunan kişilere ait bilgilerin güvenliğinin sağlanması, verilerin doğru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toplanması, depolanması ve kullanılmasına ilişkin uygulamalarımızı ve güvenlik önlemlerimizi dâhili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gözden geçirmek ve kişisel verileri depoladığımız sistemleri yetkisiz erişime karşı korumak için fiziksel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güvenlik önlemlerini almak ve bunun devamlılığını sağlamaktır.</w:t>
      </w:r>
    </w:p>
    <w:p w14:paraId="35367EB8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AE021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46351965" w14:textId="77777777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Tüm fakülte personelini ve hastalarını kapsar.</w:t>
      </w:r>
    </w:p>
    <w:p w14:paraId="797465DF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C1580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671B93A" w14:textId="77777777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3.1. HBYS:</w:t>
      </w:r>
      <w:r w:rsidRPr="00A63B86">
        <w:rPr>
          <w:rFonts w:ascii="Times New Roman" w:hAnsi="Times New Roman" w:cs="Times New Roman"/>
          <w:sz w:val="24"/>
          <w:szCs w:val="24"/>
        </w:rPr>
        <w:t xml:space="preserve"> Hastane Bilgi Yönetimi Sistemi</w:t>
      </w:r>
    </w:p>
    <w:p w14:paraId="013624DB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BA4F0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3C534DE0" w14:textId="06519597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Başta üst yönetim olmak üzere, bilgi işlem sorumluları, ilgili firmalar ve tüm çalışanlar sorumludur.</w:t>
      </w:r>
    </w:p>
    <w:p w14:paraId="0F4138F7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F572D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52A4A633" w14:textId="1F26E8F1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5.1. Yazılım Donanım Destek Birimi:</w:t>
      </w:r>
      <w:r w:rsidRPr="00A63B86">
        <w:rPr>
          <w:rFonts w:ascii="Times New Roman" w:hAnsi="Times New Roman" w:cs="Times New Roman"/>
          <w:sz w:val="24"/>
          <w:szCs w:val="24"/>
        </w:rPr>
        <w:t xml:space="preserve"> Fakültemiz teşhis tedavi hizmetlerinde; yasal mevzuat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şartlarının karşılanmasından, hizmet sunumunda hasta ihtiyaç ve beklentilerine cevap verecek şekilde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gerçekleşmesinden sorumludur. Bu amaçla kurulan Bilgi İşlem Birimi yazılım ve donanım açısından 24 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kesintisiz hizmet vermektedir.</w:t>
      </w:r>
    </w:p>
    <w:p w14:paraId="0B8B3B03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8E6BF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5.2. Hastane Bilgi Yönetim Sisteminde Yer Alan Modüller Tek Bir Veri Tabanı Üzerinde</w:t>
      </w:r>
    </w:p>
    <w:p w14:paraId="2C3BD013" w14:textId="2AE54F35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Yönetilmelidir:</w:t>
      </w:r>
      <w:r w:rsidRPr="00A63B86">
        <w:rPr>
          <w:rFonts w:ascii="Times New Roman" w:hAnsi="Times New Roman" w:cs="Times New Roman"/>
          <w:sz w:val="24"/>
          <w:szCs w:val="24"/>
        </w:rPr>
        <w:t xml:space="preserve"> Hastane Bilgi Yönetim Sisteminde (HBYS) yer alan temel modüllerin tümü (Hasta Kayıt,</w:t>
      </w:r>
      <w:r w:rsidR="00264A8D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Klinik, Depo, Ayniyat, Laboratuvarlar, Vezne, Faturalandırma, Radyoloji, Personel Modülü)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aktif olarak kullanılmaktadır. Ayrıca; Bölümlerin malzeme ve demirbaş istemlerinin yapılması, onaylanması,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satın alınması, depoya teslim edilmesi ve bölümler tarafından teslim alınması HBYS üzerinden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gerçekleşmektedir. Hastane Bilgi Yönetim Sistemi’nde (HBYS) yer alan modüller tek bir veri tabanı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üzerinden yönetilir.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HBYS’de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yer alan temel modüllerin tümü aktif olarak kullanılır.</w:t>
      </w:r>
    </w:p>
    <w:p w14:paraId="67688DD9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CEF81" w14:textId="564DF4D6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5.3. HBYS’ de Personel Bilgi Modülü Bulunmalıdır:</w:t>
      </w:r>
      <w:r w:rsidRPr="00A63B86">
        <w:rPr>
          <w:rFonts w:ascii="Times New Roman" w:hAnsi="Times New Roman" w:cs="Times New Roman"/>
          <w:sz w:val="24"/>
          <w:szCs w:val="24"/>
        </w:rPr>
        <w:t xml:space="preserve"> Personel bilgi modülü personelin; Fotoğrafını,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Çalıştığı Bölümünü, Kan grubunu, İletişim bilgilerini, İzin ve Rapor bilgilerini, Eğitim durumunu,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Sertifikalarını, Almış olduğu hizmet içi Eğitimleri ve Yabancı Dil Bilgilerini güncel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bulundurmaktadır.</w:t>
      </w:r>
    </w:p>
    <w:p w14:paraId="00BAC3CC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64F82" w14:textId="2991B9E8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5.4. HBYS’ ye Bağlı Tüm Bilgisayarlara Yönelik Düzenleme Yapılmalıdır:</w:t>
      </w:r>
      <w:r w:rsidRPr="00A63B86">
        <w:rPr>
          <w:rFonts w:ascii="Times New Roman" w:hAnsi="Times New Roman" w:cs="Times New Roman"/>
          <w:sz w:val="24"/>
          <w:szCs w:val="24"/>
        </w:rPr>
        <w:t xml:space="preserve"> HBYS üzerinde bağlı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bulunan tüm Bilgisayarların bulunduğu Bölüm, Marka, Model, Seri Numarası, Demirbaş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>Numarası,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Donanım ve Yazılım Adı, İşletim Sistemi, Ek aksamlar, Alınma Tarihi ve varsa Garanti süresi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bulunmaktadır. Bu çizelgenin bir örneği Bilgi İşlem Sorumlusu, Kalite yönetim Birimi ve Taşınır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Biriminde mevcuttur.</w:t>
      </w:r>
    </w:p>
    <w:p w14:paraId="4CABBF9D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07688" w14:textId="5FB7809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5.5</w:t>
      </w:r>
      <w:r w:rsidRPr="00A63B86">
        <w:rPr>
          <w:rFonts w:ascii="Times New Roman" w:hAnsi="Times New Roman" w:cs="Times New Roman"/>
          <w:sz w:val="24"/>
          <w:szCs w:val="24"/>
        </w:rPr>
        <w:t>. Fakültemizde Bilgi Güvenliğini Sağlamaya Yönelik Olarak Aşağıdaki Uygulamalar Hasta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bilgilerinin girişi HBYS’ de tanımlanan alanlara yapılmaktadır.</w:t>
      </w:r>
    </w:p>
    <w:p w14:paraId="7D2241C6" w14:textId="3DFEA6CB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Hasta bilgilerinin güvenliği için, tüm kullanıcılara her kademede yetkilendirme yapılır ve kontrol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edilir.</w:t>
      </w:r>
    </w:p>
    <w:p w14:paraId="264234FA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Çalışanlar yetki düzeyleri ile ilgili olarak bilgilendirilir.</w:t>
      </w:r>
    </w:p>
    <w:p w14:paraId="22FDC681" w14:textId="3172B38A" w:rsid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Her kademedeki Fakülte personeli ancak yetkilendirilmiş olduğu işlemleri, diğer fakülte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prosedürlerine uygun olarak uygular. Aynı görevi icra eden çalışanlar aynı yetki gruplarına sahip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çalışır.</w:t>
      </w:r>
    </w:p>
    <w:p w14:paraId="7DF8FFA0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80263" w14:textId="72C5AC90" w:rsidR="00A63B86" w:rsidRPr="00E17091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5.6</w:t>
      </w:r>
      <w:r w:rsidR="00E170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3B86">
        <w:rPr>
          <w:rFonts w:ascii="Times New Roman" w:hAnsi="Times New Roman" w:cs="Times New Roman"/>
          <w:b/>
          <w:bCs/>
          <w:sz w:val="24"/>
          <w:szCs w:val="24"/>
        </w:rPr>
        <w:t xml:space="preserve"> Bilgi Güvenliğini Sağlamaya Yönelik Düzenleme</w:t>
      </w:r>
    </w:p>
    <w:p w14:paraId="23BD0F29" w14:textId="1E17B4C6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5.6.1. Sunucu Güvenliği:</w:t>
      </w:r>
      <w:r w:rsidRPr="00A63B86">
        <w:rPr>
          <w:rFonts w:ascii="Times New Roman" w:hAnsi="Times New Roman" w:cs="Times New Roman"/>
          <w:sz w:val="24"/>
          <w:szCs w:val="24"/>
        </w:rPr>
        <w:t xml:space="preserve"> Fakültemizde bulunan sunucular bilgi işlem ünitesi içerisinde ayrı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bölümde izinsiz erişimin engellendiği alanda çalışmaktadır. Ancak yetkili kişilerce ilgili birime girilmektedir.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Sunucuların bulunduğu alan su basması, yangına karşı her türlü önlemi alınmış ve yedekli klima sistemi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soğutulmakta olup ayrıca sıcaklık ve nem bilgileri de düzenli olarak kayıt altına alınmaktadır. Sıcaklık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değerleri 18-22 derece, nem </w:t>
      </w:r>
      <w:proofErr w:type="gramStart"/>
      <w:r w:rsidRPr="00A63B86">
        <w:rPr>
          <w:rFonts w:ascii="Times New Roman" w:hAnsi="Times New Roman" w:cs="Times New Roman"/>
          <w:sz w:val="24"/>
          <w:szCs w:val="24"/>
        </w:rPr>
        <w:t>%30</w:t>
      </w:r>
      <w:proofErr w:type="gramEnd"/>
      <w:r w:rsidRPr="00A63B86">
        <w:rPr>
          <w:rFonts w:ascii="Times New Roman" w:hAnsi="Times New Roman" w:cs="Times New Roman"/>
          <w:sz w:val="24"/>
          <w:szCs w:val="24"/>
        </w:rPr>
        <w:t>-50 arasında olması sağlanmaktadır. Bunun yanında yedekli güç kaynakları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(UPS) mevcut olup, periyodik bakımları yapılmaktadır. Kurumda bulunan bütün sunucuların kayıtları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tutulur. Bu kayıtlarda sunucunun yeri, sorumlu kişisi, donanım, işletim sistemi üzerinde çalışan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bilgileri yer alır. Sunucu üzerinde çalışan işletim sistemleri, hizmet sunucu yazılımları ve antivirüs gibi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koruma amaçlı yazılımların güncel olmalarına dikkat edilir. Sunucuların yazılım ve donanım bakımları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üretici firmanın uygun gördüğü süreler dâhilinde yetkili kişiler tarafından veya teknik servis tarafından yapılır.</w:t>
      </w:r>
    </w:p>
    <w:p w14:paraId="16CE5067" w14:textId="2A4ADAF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5.6.2. Yedekleme:</w:t>
      </w:r>
      <w:r w:rsidRPr="00A63B86">
        <w:rPr>
          <w:rFonts w:ascii="Times New Roman" w:hAnsi="Times New Roman" w:cs="Times New Roman"/>
          <w:sz w:val="24"/>
          <w:szCs w:val="24"/>
        </w:rPr>
        <w:t xml:space="preserve"> Bütün hasta kayıtları ve yedeklenmiş hasta bilgileri fiziksel olarak </w:t>
      </w:r>
      <w:r w:rsidR="00B9169F">
        <w:rPr>
          <w:rFonts w:ascii="Times New Roman" w:hAnsi="Times New Roman" w:cs="Times New Roman"/>
          <w:sz w:val="24"/>
          <w:szCs w:val="24"/>
        </w:rPr>
        <w:t>Kestel Merkez Yerleşkesi Bilgi İşlem Daire Başkanlığında</w:t>
      </w:r>
      <w:r w:rsidRPr="00A63B86">
        <w:rPr>
          <w:rFonts w:ascii="Times New Roman" w:hAnsi="Times New Roman" w:cs="Times New Roman"/>
          <w:sz w:val="24"/>
          <w:szCs w:val="24"/>
        </w:rPr>
        <w:t xml:space="preserve"> saklanmaktadır. Hasta kayıtlarının yedeklenmesi Bilgi İşlem tarafından günlük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yapılmaktadır.</w:t>
      </w:r>
      <w:r w:rsidR="00B9169F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Yedeklemeler aracılığı ile yılda bir kez veri kurtarma testi uygulanır, Yedeklemeden alınan (örnek veri ile)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geri dönüşün sağlanıp sağlanmadığı ve veri kaybının olup olmadığı kontrol edilir, Test kayıt altına alınır,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gerektiğinde düzeltici önleyici faaliyet başlatılır.</w:t>
      </w:r>
    </w:p>
    <w:p w14:paraId="51C6FCC4" w14:textId="79636F4D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5.6.3. Kişisel Sağlık Kayıtlarının Güvenliği:</w:t>
      </w:r>
      <w:r w:rsidRPr="00A63B86">
        <w:rPr>
          <w:rFonts w:ascii="Times New Roman" w:hAnsi="Times New Roman" w:cs="Times New Roman"/>
          <w:sz w:val="24"/>
          <w:szCs w:val="24"/>
        </w:rPr>
        <w:t xml:space="preserve"> Veri tabanı güvenliğini sağlamaya yönelik tedbirler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alınır. Veri tabanı sistem loğları (Hasta kayıt logları, Hasta Hizmet logları, Hasta Fatura Logları, Hasta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Poliklinik logları, Tanımlama Logları, Hasta Dosya logları, Veri tabanı oturum logları, Sağlık kurulu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loğları) kayıt altında tutulur ve gerektiğinde idare tarafından izlenebilir. Veri tabanı ile ilgili 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kişilerin iletişim bilgileri santralde ve birimlerde bulunmaktadır. Kullanıcıların ara yüze bağlanmak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kullandıkları şifreler şifreli bir şekilde saklanmaktadır. Veri tabanı üzerinde tüm işlemler loglanır.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Kullanıcılar veri tabanına yapılacak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>müdahale (yama ve güncelleme vb.) öncesinden bilgilendirilir.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Verileri yetkisiz erişime, yetkisiz şekilde değiştirilmelerine, açıklanmalarına veya imha edilmelerine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karşı korumak için uygun önlemleri alınmıştır. Hastanın özlük bilgileri ve kurum bilgileri sadece üst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yönetimin onayı ile bilgi işlem birimi tarafından değiştirilebilir. Kullanıcıların bilgileri silme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yetkileri yoktur. Hastalarla ilgili her türlü kaydın kim tarafından, hangi tarihte girildiği, ulaşma, değiştirme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bilgisi fakülte bilgi işlem programı log kayıtları altında tutulmaktadır. Hastaların klinik kayıtlarına yalnızca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konu ile ilgili yetkilendirilmiş kişinin giriş yaptığı hastane bilgi işlem programında “Güvenlik Sistemi” 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altında izlenebilmektedir.</w:t>
      </w:r>
    </w:p>
    <w:p w14:paraId="21C3E218" w14:textId="6B1E02EF" w:rsidR="00A63B86" w:rsidRPr="00E17091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5.6.4.</w:t>
      </w:r>
      <w:r w:rsidRPr="00A63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HBYS’de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Oluşan Sorunların Çözümü: Bilgi İşlem Sorumlusu ve Teknik Destek Ekibi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çalışmaları yapar. HBYS ile ilgili sorunlarda çalışanlar kiminle nasıl irtibat kuracağı konusunda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bilgilendirilir. Sorun giderilinceye kadar işlerin aksamamasına yönelik yapılması gerekenler bölüm bazında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belirlenmiştir. HBYS tekrar aktif olduğunda bu süreçte elde edilen verilerin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HBYS’ye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kim tarafından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nasıl kaydedileceği Bilgi İşlem Sorumlusu tarafından belirlenmiştir. HBYS ile ilgili sorunlar ve çözümler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kayıt altına alınır. Sorunun oluştuğu tarih ve saat, bildirimin yapıldığı tarih ve saat, sorunun çözüldüğü tarih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ve saat kayıt altına alınır. Sorunlar ile ilgili aylık istatistiksel çalışma yapılır, sorunlar ile ilgili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düzeltici önleyici faaliyet başlatılır.</w:t>
      </w:r>
    </w:p>
    <w:p w14:paraId="64CE3E94" w14:textId="7496BABA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 xml:space="preserve">5.7. HBYS Üzerinde Yapılan </w:t>
      </w:r>
      <w:r w:rsidR="00264A8D" w:rsidRPr="00A63B86">
        <w:rPr>
          <w:rFonts w:ascii="Times New Roman" w:hAnsi="Times New Roman" w:cs="Times New Roman"/>
          <w:b/>
          <w:bCs/>
          <w:sz w:val="24"/>
          <w:szCs w:val="24"/>
        </w:rPr>
        <w:t>İşlemler</w:t>
      </w:r>
      <w:r w:rsidRPr="00A63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A8D" w:rsidRPr="00A63B86">
        <w:rPr>
          <w:rFonts w:ascii="Times New Roman" w:hAnsi="Times New Roman" w:cs="Times New Roman"/>
          <w:b/>
          <w:bCs/>
          <w:sz w:val="24"/>
          <w:szCs w:val="24"/>
        </w:rPr>
        <w:t>İzlenebilirliği</w:t>
      </w:r>
      <w:r w:rsidRPr="00A63B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3B86">
        <w:rPr>
          <w:rFonts w:ascii="Times New Roman" w:hAnsi="Times New Roman" w:cs="Times New Roman"/>
          <w:sz w:val="24"/>
          <w:szCs w:val="24"/>
        </w:rPr>
        <w:t xml:space="preserve"> Salt okunur özellikte ayrı bir veri tabanı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tablo mevcuttur. Veri tabanı ya da tablolarda sisteme giriş yapan kullanıcılar, gerçekleştirdikleri işlemler,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sistem ayarlarında gerçekleştirilen değişiklikler, sistem mesajları ve hatalar ile ilgili veriler kayıt altına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alınır. Veri tabanı ya da tablolara sadece bilgi sisteminde yönetici olarak yetkilendirilmiş kişiler ulaşabilir.</w:t>
      </w:r>
    </w:p>
    <w:p w14:paraId="4CFD9527" w14:textId="7DBAC0BF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sz w:val="24"/>
          <w:szCs w:val="24"/>
        </w:rPr>
        <w:t>5.8. İnternet Erişim ve Kullanımı:</w:t>
      </w:r>
      <w:r w:rsidRPr="00A63B86">
        <w:rPr>
          <w:rFonts w:ascii="Times New Roman" w:hAnsi="Times New Roman" w:cs="Times New Roman"/>
          <w:sz w:val="24"/>
          <w:szCs w:val="24"/>
        </w:rPr>
        <w:t xml:space="preserve"> Hiçbir kullanıcı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peer-to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bağlantı yoluyla internetteki</w:t>
      </w:r>
      <w:r w:rsidR="00264A8D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servisleri kullanamayacaktır. (Örneğin;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KaZaA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iMesh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eDonkey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Gnutella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Napster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Aimster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Madster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FastTrak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Audiogalaxy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MFTP,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eMule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Overnet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NeoModus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Direct Connect,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Asquisition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BearShare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Gnucleus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GTKGnutella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LimeWire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Mactella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Morpheus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Phex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Qtella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Shareaza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XoLoX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OpenNap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,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WinMX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)</w:t>
      </w:r>
    </w:p>
    <w:p w14:paraId="210704EA" w14:textId="0B007FAE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Bigisayarlar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arası ağ üzerinden resmi görüşmeler haricinde </w:t>
      </w:r>
      <w:proofErr w:type="spellStart"/>
      <w:r w:rsidR="00B9169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B9169F">
        <w:rPr>
          <w:rFonts w:ascii="Times New Roman" w:hAnsi="Times New Roman" w:cs="Times New Roman"/>
          <w:sz w:val="24"/>
          <w:szCs w:val="24"/>
        </w:rPr>
        <w:t>, Telegram vb</w:t>
      </w:r>
      <w:r w:rsidRPr="00A63B86">
        <w:rPr>
          <w:rFonts w:ascii="Times New Roman" w:hAnsi="Times New Roman" w:cs="Times New Roman"/>
          <w:sz w:val="24"/>
          <w:szCs w:val="24"/>
        </w:rPr>
        <w:t>. mesajlaşma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ve sohbet programları gibi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programlarının kullanılmaması. Bu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programları üzerinden dosya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alışverişinde bulunulmamalıdır.</w:t>
      </w:r>
    </w:p>
    <w:p w14:paraId="2C3B50E2" w14:textId="6801FDA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Hiçbir kullanıcı internet üzerinden Multimedia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(Video, mp3 yayını ve iletişimi)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yapamayacaktır.</w:t>
      </w:r>
    </w:p>
    <w:p w14:paraId="1C0CBBB8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Çalışma saatleri içerisinde aşırı bir şekilde iş ile ilgili olmayan sitelerde gezinmek yasaktır.</w:t>
      </w:r>
    </w:p>
    <w:p w14:paraId="68D826A9" w14:textId="5D77D9F9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İş ile ilgili olmayan (Müzik, video dosyaları) yüksek hacimli dosyalar göndermek (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) ve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indirmek (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) etmek yasaktır.</w:t>
      </w:r>
    </w:p>
    <w:p w14:paraId="264AE84A" w14:textId="3A93BF43" w:rsidR="00E17091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İnternet üzerinden kurum tarafından onaylanmamış yazılımlar indirilemez ve kurum sistemleri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üzerine bu yazılımlar kurulamaz.</w:t>
      </w:r>
    </w:p>
    <w:p w14:paraId="543BCE25" w14:textId="77777777" w:rsidR="00A63B86" w:rsidRPr="00E17091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091">
        <w:rPr>
          <w:rFonts w:ascii="Times New Roman" w:hAnsi="Times New Roman" w:cs="Times New Roman"/>
          <w:b/>
          <w:bCs/>
          <w:sz w:val="24"/>
          <w:szCs w:val="24"/>
        </w:rPr>
        <w:t>5.9. E-Posta Kullanımı</w:t>
      </w:r>
    </w:p>
    <w:p w14:paraId="28F71D82" w14:textId="00814B23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lastRenderedPageBreak/>
        <w:t>♦ Kurumun e-posta sistemi, taciz,</w:t>
      </w:r>
      <w:r w:rsidR="00264A8D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suistimal veya herhangi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birşekilde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alıcının haklarına zarar vermeye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yönelik öğeleri içeren mesajların gönderilmesi için kesinlikle kullanılamaz.</w:t>
      </w:r>
    </w:p>
    <w:p w14:paraId="7F6AE8E3" w14:textId="44133C12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Zincir mesajlar ve mesajlara iliştirilmiş her türlü çalıştırılabilir dosya içeren e-postalar alındığında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hemen silinmeli ve kesinlikle başkalarına iletilmemelidir.</w:t>
      </w:r>
    </w:p>
    <w:p w14:paraId="0710A22E" w14:textId="2B25996F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Kişisel kullanım için İnternet’teki listelere üye olunması durumunda kurum e-posta adresleri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kullanılmamalıdır.</w:t>
      </w:r>
    </w:p>
    <w:p w14:paraId="242A61EE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Spam, zincir e-posta, sahte e-posta vb. zararlı e-postalara yanıt yazılmamalıdır.</w:t>
      </w:r>
    </w:p>
    <w:p w14:paraId="3995E24A" w14:textId="1DAB757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Kullanıcıların kullanıcı kodu/şifresini girmesini isteyen e-postaların sahte e-posta olabileceği dikkate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alınarak, herhangi bir işlem yapılmaksızın derhal silinmelidir.</w:t>
      </w:r>
    </w:p>
    <w:p w14:paraId="7A9648CF" w14:textId="0A187F6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Çalışanlar e-posta ile uygun olmayan içerikler (pornografi, ırkçılık, siyasi propaganda, fikri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mülkiyet içeren malzeme vb.) gönderemezler.</w:t>
      </w:r>
    </w:p>
    <w:p w14:paraId="1261A6FB" w14:textId="6FF66DB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Çalışanlar, mesajlarının yetkisiz kişiler tarafından okunmasını engellemelidirler. Bu yüzden şifre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kullanılmalı ve e-posta erişimi için kullanılan donanım/yazılım sistemleri yetkisiz erişimlere karşı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korunmalıdır.</w:t>
      </w:r>
    </w:p>
    <w:p w14:paraId="52F9DCEA" w14:textId="7FC79005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Kurum çalışanları mesajlarını düzenli olarak kontrol etmeli ve kurumsal mesajları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cevaplandırmalıdır.</w:t>
      </w:r>
    </w:p>
    <w:p w14:paraId="58D720EB" w14:textId="10561B1E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Kurum çalışanları kurumsal e-postaların kurum dışındaki şahıslar ve yetkisiz şahıslar tarafından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görünmesi ve okunmasını engellemekten sorumludurlar.</w:t>
      </w:r>
    </w:p>
    <w:p w14:paraId="1353E260" w14:textId="0B448F8A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Kaynağı bilinmeyen e-posta ekinde gelen dosyalar kesinlikle açılmamalı ve derhal silinmelidir.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Çünkü bu mailler virüs, e-mail bombaları ve Truva atı gibi zararlı kodlar içerebilirler.</w:t>
      </w:r>
    </w:p>
    <w:p w14:paraId="347B20E2" w14:textId="108DA7CE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Kurum dışından güvenliğinden emin olunmayan bir bilgisayardan web posta sistemi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kullanılmamalıdır.</w:t>
      </w:r>
    </w:p>
    <w:p w14:paraId="62B9EB96" w14:textId="20ED774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Elektronik postalar sık sık gözden geçirilmeli, gelen mesajlar uzun süreli olarak genel elektronik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 xml:space="preserve">posta sunucusunda bırakılmamalı ve bilgisayardaki bir kişisel klasöre (personel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) çekilmelidir.</w:t>
      </w:r>
    </w:p>
    <w:p w14:paraId="3F7E0440" w14:textId="3B4E1196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Fakültemiz çalışanları gönderdikleri, aldıkları veya sakladıkları e-maillerde kişisellik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aramamalıdır. Yasadışı ve hakaret edici e-posta haberleşmesi yapılması durumunda yetkili kişiler önceden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haber vermeksizin e-mail mesajlarını denetleyebilir ve kullanıcı hakkında yasal ve idari işlemler başlatabilir.</w:t>
      </w:r>
    </w:p>
    <w:p w14:paraId="6FAB7D03" w14:textId="36D44011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Kullanıcılar kendilerine ait e-posta adresinin şifresinin güvenliğinden ve gönderilen e- postalardan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doğacak hukuki işlemlerden sorumludurlar. Şifrelerin kırıldığını fark ettikleri andan itibaren yetkililerle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temasa geçip durumu haber vermekle yükümlüdürler.</w:t>
      </w:r>
    </w:p>
    <w:p w14:paraId="20E7D327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Altı ay süre ile kullanılmayan e-posta kutuları Bilgi İşlem birimi tarafından kaldırılabilir.</w:t>
      </w:r>
    </w:p>
    <w:p w14:paraId="3C625B69" w14:textId="1AF816EA" w:rsidR="00E17091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Kurumdan ayrılan personel kurumsal e-posta sistemini kullanamaz. E-posta adresine sahip kullanıcı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herhangi bir sebepten birim değiştirme, emekli olma, işten ayrılma sebepleriyle kurumdaki değişikliğinin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yetkililer tarafından Bilgi İşlem birimine en kısa zamanda bildirilmesi gerekmektedir.</w:t>
      </w:r>
    </w:p>
    <w:p w14:paraId="58C7021D" w14:textId="63D6AD29" w:rsidR="00A63B86" w:rsidRPr="00E17091" w:rsidRDefault="00A63B86" w:rsidP="00A63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091">
        <w:rPr>
          <w:rFonts w:ascii="Times New Roman" w:hAnsi="Times New Roman" w:cs="Times New Roman"/>
          <w:b/>
          <w:bCs/>
          <w:sz w:val="24"/>
          <w:szCs w:val="24"/>
        </w:rPr>
        <w:t>5.10. Şifre Kullanımı</w:t>
      </w:r>
    </w:p>
    <w:p w14:paraId="1CEE2BA3" w14:textId="1D4672CB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lastRenderedPageBreak/>
        <w:t>♦ Bütün kullanıcı seviyeli şifreler (örnek, e-posta, web, masaüstü bilgisayar vs.) en az altı ayda bir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değiştirilmelidir. Tavsiye edilen değiştirme süresi her üç ayda birdir.</w:t>
      </w:r>
    </w:p>
    <w:p w14:paraId="780CBC17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Şifreler e-posta iletilerine veya herhangi bir elektronik forma eklenmemelidir.</w:t>
      </w:r>
    </w:p>
    <w:p w14:paraId="1B98C12F" w14:textId="49B1625B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Şifreler başkası ile paylaşılmamalı, kağıtlara </w:t>
      </w:r>
      <w:r w:rsidR="00264A8D" w:rsidRPr="00A63B86">
        <w:rPr>
          <w:rFonts w:ascii="Times New Roman" w:hAnsi="Times New Roman" w:cs="Times New Roman"/>
          <w:sz w:val="24"/>
          <w:szCs w:val="24"/>
        </w:rPr>
        <w:t>ya da</w:t>
      </w:r>
      <w:r w:rsidRPr="00A63B86">
        <w:rPr>
          <w:rFonts w:ascii="Times New Roman" w:hAnsi="Times New Roman" w:cs="Times New Roman"/>
          <w:sz w:val="24"/>
          <w:szCs w:val="24"/>
        </w:rPr>
        <w:t xml:space="preserve"> elektronik ortamlara yazılmamalıdır.</w:t>
      </w:r>
    </w:p>
    <w:p w14:paraId="50C8F811" w14:textId="4F696329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Şifrelemede, küçük ve büyük karakterlere (örnek, a-z, A-Z), hem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digit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hemde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noktalama karakterleri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ve ayrıca harflere (örnek, 0-9</w:t>
      </w:r>
      <w:r w:rsidR="00264A8D" w:rsidRPr="00A63B86">
        <w:rPr>
          <w:rFonts w:ascii="Times New Roman" w:hAnsi="Times New Roman" w:cs="Times New Roman"/>
          <w:sz w:val="24"/>
          <w:szCs w:val="24"/>
        </w:rPr>
        <w:t>,!</w:t>
      </w:r>
      <w:r w:rsidRPr="00A63B86">
        <w:rPr>
          <w:rFonts w:ascii="Times New Roman" w:hAnsi="Times New Roman" w:cs="Times New Roman"/>
          <w:sz w:val="24"/>
          <w:szCs w:val="24"/>
        </w:rPr>
        <w:t>’^+%&amp;/()=?_;*) sahip olmalıdır.</w:t>
      </w:r>
    </w:p>
    <w:p w14:paraId="48E17745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En az sekiz adet alfa nümerik karaktere sahiptir.</w:t>
      </w:r>
    </w:p>
    <w:p w14:paraId="0CA97CC5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Herhangi bir dildeki argo, lehçe veya teknik bir kelime olmamalıdır.</w:t>
      </w:r>
    </w:p>
    <w:p w14:paraId="5D2437DA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Aile isimleri kullanılmamalıdır.</w:t>
      </w:r>
    </w:p>
    <w:p w14:paraId="517F9F6E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Herhangi bir kişiye telefonda şifre verilmemelidir.</w:t>
      </w:r>
    </w:p>
    <w:p w14:paraId="281414C1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E-posta mesajlarında şifre yazılmamalıdır.</w:t>
      </w:r>
    </w:p>
    <w:p w14:paraId="630408BC" w14:textId="137C19D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Şifreler aile bireyleriyle paylaşılmamalıdır.</w:t>
      </w:r>
    </w:p>
    <w:p w14:paraId="2CCFF4A8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Şifreler, işten uzakta olduğunuz zamanlarda iş arkadaşlarına verilmemelidir.,</w:t>
      </w:r>
    </w:p>
    <w:p w14:paraId="40E99B23" w14:textId="77777777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Bir kullanıcı adı ve şifresi birden çok bilgisayarda kullanılmamalıdır.</w:t>
      </w:r>
    </w:p>
    <w:p w14:paraId="32107BED" w14:textId="0B3B6B4E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♦ Şifre kırma ve tahmin etme operasyonları belli aralıklar ile yapılabilir. Güvenlik taraması sonucunda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şifreler tahmin edilirse veya kırılırsa kullanıcıya şifresini değiştirmesi talep edilecektir.</w:t>
      </w:r>
    </w:p>
    <w:p w14:paraId="6DDA0719" w14:textId="1791E15F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</w:t>
      </w:r>
      <w:r w:rsidRPr="00E17091">
        <w:rPr>
          <w:rFonts w:ascii="Times New Roman" w:hAnsi="Times New Roman" w:cs="Times New Roman"/>
          <w:b/>
          <w:bCs/>
          <w:sz w:val="24"/>
          <w:szCs w:val="24"/>
        </w:rPr>
        <w:t>Uzaktan Erişim:</w:t>
      </w:r>
      <w:r w:rsidRPr="00A63B86">
        <w:rPr>
          <w:rFonts w:ascii="Times New Roman" w:hAnsi="Times New Roman" w:cs="Times New Roman"/>
          <w:sz w:val="24"/>
          <w:szCs w:val="24"/>
        </w:rPr>
        <w:t xml:space="preserve"> Uzaktan Erişim, Bilgi işlemden sorumlu personel tarafından üniversite Bilgi İşlem</w:t>
      </w:r>
      <w:r w:rsidR="0032289A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Dairesi Başkanlığının izni dahilinde gerekli görülen durumlarda güvenlik duvarı tarafından korumalı olarak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erişim sağlanmaktadır.</w:t>
      </w:r>
    </w:p>
    <w:p w14:paraId="5580C0FF" w14:textId="2ED94C9A" w:rsidR="00A63B86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091">
        <w:rPr>
          <w:rFonts w:ascii="Times New Roman" w:hAnsi="Times New Roman" w:cs="Times New Roman"/>
          <w:b/>
          <w:bCs/>
          <w:sz w:val="24"/>
          <w:szCs w:val="24"/>
        </w:rPr>
        <w:t>♦ Kablosuz Erişim:</w:t>
      </w:r>
      <w:r w:rsidRPr="00A63B86">
        <w:rPr>
          <w:rFonts w:ascii="Times New Roman" w:hAnsi="Times New Roman" w:cs="Times New Roman"/>
          <w:sz w:val="24"/>
          <w:szCs w:val="24"/>
        </w:rPr>
        <w:t xml:space="preserve"> Kablosuz erişim, Fakülte içerisinde kablosuz erişim mevcut olup, otomasyon ile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bağlantıyı sağlayacak olan cihazların MAC (fiziksel) adresleri modem üzerinde kayıtlıdır. İzinsiz olarak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dışarıdan girişlere kapalıdır.</w:t>
      </w:r>
    </w:p>
    <w:p w14:paraId="19A64E24" w14:textId="7D5A7D0B" w:rsidR="00291B1D" w:rsidRPr="00A63B86" w:rsidRDefault="00A63B86" w:rsidP="00A6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♦ </w:t>
      </w:r>
      <w:r w:rsidRPr="00E17091">
        <w:rPr>
          <w:rFonts w:ascii="Times New Roman" w:hAnsi="Times New Roman" w:cs="Times New Roman"/>
          <w:b/>
          <w:bCs/>
          <w:sz w:val="24"/>
          <w:szCs w:val="24"/>
        </w:rPr>
        <w:t xml:space="preserve">Virüs </w:t>
      </w:r>
      <w:r w:rsidR="00E17091" w:rsidRPr="00E17091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E17091">
        <w:rPr>
          <w:rFonts w:ascii="Times New Roman" w:hAnsi="Times New Roman" w:cs="Times New Roman"/>
          <w:b/>
          <w:bCs/>
          <w:sz w:val="24"/>
          <w:szCs w:val="24"/>
        </w:rPr>
        <w:t xml:space="preserve"> Saldırganlardan Korunma;</w:t>
      </w:r>
      <w:r w:rsidRPr="00A63B86">
        <w:rPr>
          <w:rFonts w:ascii="Times New Roman" w:hAnsi="Times New Roman" w:cs="Times New Roman"/>
          <w:sz w:val="24"/>
          <w:szCs w:val="24"/>
        </w:rPr>
        <w:t xml:space="preserve"> Virüs ve saldırganlardan korunma sorumluluğu ilgili Daire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Başkanlığı ve bilgi işlem sorumlusuna aittir. İlgililer virüs ve saldırganlardan korunma için gerekli donanım</w:t>
      </w:r>
      <w:r w:rsidR="00E17091">
        <w:rPr>
          <w:rFonts w:ascii="Times New Roman" w:hAnsi="Times New Roman" w:cs="Times New Roman"/>
          <w:sz w:val="24"/>
          <w:szCs w:val="24"/>
        </w:rPr>
        <w:t xml:space="preserve"> v</w:t>
      </w:r>
      <w:r w:rsidRPr="00A63B86">
        <w:rPr>
          <w:rFonts w:ascii="Times New Roman" w:hAnsi="Times New Roman" w:cs="Times New Roman"/>
          <w:sz w:val="24"/>
          <w:szCs w:val="24"/>
        </w:rPr>
        <w:t>e yazılımı üst yönetime bildirip gerekli tedbirleri alır. Bu tedbirler içinde anti virüs yazılımları ve firewall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gibi donanımsal ve yazılımsal aparatları içeren sağlık bakanlığınca istenen asgari şartlardan oluşur. Bu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yazılımların güncellenmesini de yapmak yukarda belirtilen ilgililerin sorumluluğundadır, zamanı geldiğinde</w:t>
      </w:r>
      <w:r w:rsidR="00E17091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sz w:val="24"/>
          <w:szCs w:val="24"/>
        </w:rPr>
        <w:t>üst yönetimin haberdar ederek güncellemeleri yaparlar.</w:t>
      </w:r>
    </w:p>
    <w:sectPr w:rsidR="00291B1D" w:rsidRPr="00A63B86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0C2F" w14:textId="77777777" w:rsidR="000B02DD" w:rsidRDefault="000B02DD" w:rsidP="00413AEE">
      <w:pPr>
        <w:spacing w:after="0" w:line="240" w:lineRule="auto"/>
      </w:pPr>
      <w:r>
        <w:separator/>
      </w:r>
    </w:p>
  </w:endnote>
  <w:endnote w:type="continuationSeparator" w:id="0">
    <w:p w14:paraId="63D42B03" w14:textId="77777777" w:rsidR="000B02DD" w:rsidRDefault="000B02DD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7C6E0115" w:rsidR="00EF0D5A" w:rsidRDefault="00264A8D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63C997A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264A8D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87AC" w14:textId="77777777" w:rsidR="000B02DD" w:rsidRDefault="000B02DD" w:rsidP="00413AEE">
      <w:pPr>
        <w:spacing w:after="0" w:line="240" w:lineRule="auto"/>
      </w:pPr>
      <w:r>
        <w:separator/>
      </w:r>
    </w:p>
  </w:footnote>
  <w:footnote w:type="continuationSeparator" w:id="0">
    <w:p w14:paraId="4ED1C673" w14:textId="77777777" w:rsidR="000B02DD" w:rsidRDefault="000B02DD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C1EAEAA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D8234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BY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.PR.0</w:t>
          </w:r>
          <w:r w:rsidR="00A63B8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3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7E23537E" w:rsidR="00AE722C" w:rsidRPr="00EF0D5A" w:rsidRDefault="00A63B86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8234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BİLGİ </w:t>
          </w:r>
          <w:r w:rsidR="00D24A9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İŞLEM</w:t>
          </w:r>
          <w:r w:rsidRPr="00D8234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="007172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İŞLEYİŞ</w:t>
          </w:r>
          <w:r w:rsidRPr="00D8234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B02DD"/>
    <w:rsid w:val="000F71C5"/>
    <w:rsid w:val="00113665"/>
    <w:rsid w:val="00123430"/>
    <w:rsid w:val="001236B7"/>
    <w:rsid w:val="00192E93"/>
    <w:rsid w:val="001B0792"/>
    <w:rsid w:val="001F5224"/>
    <w:rsid w:val="00204DDC"/>
    <w:rsid w:val="0021487C"/>
    <w:rsid w:val="00264A8D"/>
    <w:rsid w:val="00281DBF"/>
    <w:rsid w:val="00291B1D"/>
    <w:rsid w:val="002A1582"/>
    <w:rsid w:val="002A32D2"/>
    <w:rsid w:val="002E4E24"/>
    <w:rsid w:val="002E79A9"/>
    <w:rsid w:val="00303C65"/>
    <w:rsid w:val="0032289A"/>
    <w:rsid w:val="00334747"/>
    <w:rsid w:val="00346C4D"/>
    <w:rsid w:val="0037649C"/>
    <w:rsid w:val="003A7DD5"/>
    <w:rsid w:val="003B5B72"/>
    <w:rsid w:val="003F6899"/>
    <w:rsid w:val="00413AEE"/>
    <w:rsid w:val="004229E9"/>
    <w:rsid w:val="00436DA6"/>
    <w:rsid w:val="00445792"/>
    <w:rsid w:val="004462B4"/>
    <w:rsid w:val="00451963"/>
    <w:rsid w:val="00467B34"/>
    <w:rsid w:val="0047132E"/>
    <w:rsid w:val="004714D3"/>
    <w:rsid w:val="004C3935"/>
    <w:rsid w:val="004D270F"/>
    <w:rsid w:val="004E4C0C"/>
    <w:rsid w:val="0052725B"/>
    <w:rsid w:val="00533807"/>
    <w:rsid w:val="005A0C15"/>
    <w:rsid w:val="005A0FA7"/>
    <w:rsid w:val="005B07CF"/>
    <w:rsid w:val="005B468A"/>
    <w:rsid w:val="005C40D0"/>
    <w:rsid w:val="00647B04"/>
    <w:rsid w:val="00650167"/>
    <w:rsid w:val="006667FD"/>
    <w:rsid w:val="0069472B"/>
    <w:rsid w:val="006C6D0A"/>
    <w:rsid w:val="006D247D"/>
    <w:rsid w:val="006D7461"/>
    <w:rsid w:val="006E5928"/>
    <w:rsid w:val="006F2A50"/>
    <w:rsid w:val="006F4BC2"/>
    <w:rsid w:val="006F6CE1"/>
    <w:rsid w:val="007144CB"/>
    <w:rsid w:val="0071721E"/>
    <w:rsid w:val="00732014"/>
    <w:rsid w:val="0073241A"/>
    <w:rsid w:val="007643DF"/>
    <w:rsid w:val="00790987"/>
    <w:rsid w:val="007928BF"/>
    <w:rsid w:val="007B01DD"/>
    <w:rsid w:val="007C3472"/>
    <w:rsid w:val="007F47D2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E785F"/>
    <w:rsid w:val="00A03F90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E21CA"/>
    <w:rsid w:val="00AE29B9"/>
    <w:rsid w:val="00AE722C"/>
    <w:rsid w:val="00AF290B"/>
    <w:rsid w:val="00B05C64"/>
    <w:rsid w:val="00B57B12"/>
    <w:rsid w:val="00B7216D"/>
    <w:rsid w:val="00B75B9B"/>
    <w:rsid w:val="00B9169F"/>
    <w:rsid w:val="00BC2761"/>
    <w:rsid w:val="00BC6E56"/>
    <w:rsid w:val="00C024C3"/>
    <w:rsid w:val="00C23D15"/>
    <w:rsid w:val="00C30AE4"/>
    <w:rsid w:val="00C4401B"/>
    <w:rsid w:val="00C44A8D"/>
    <w:rsid w:val="00C51E02"/>
    <w:rsid w:val="00C85571"/>
    <w:rsid w:val="00CC4B12"/>
    <w:rsid w:val="00CD0903"/>
    <w:rsid w:val="00CD4E2B"/>
    <w:rsid w:val="00CF55BC"/>
    <w:rsid w:val="00D06326"/>
    <w:rsid w:val="00D17FDF"/>
    <w:rsid w:val="00D24A9A"/>
    <w:rsid w:val="00D65204"/>
    <w:rsid w:val="00D72843"/>
    <w:rsid w:val="00D82349"/>
    <w:rsid w:val="00D84635"/>
    <w:rsid w:val="00D91E76"/>
    <w:rsid w:val="00DA1861"/>
    <w:rsid w:val="00DC0021"/>
    <w:rsid w:val="00DC5FA8"/>
    <w:rsid w:val="00DC6CBE"/>
    <w:rsid w:val="00E02C12"/>
    <w:rsid w:val="00E12BC2"/>
    <w:rsid w:val="00E16E38"/>
    <w:rsid w:val="00E17091"/>
    <w:rsid w:val="00E24D9F"/>
    <w:rsid w:val="00E26458"/>
    <w:rsid w:val="00E81BFF"/>
    <w:rsid w:val="00EA0C24"/>
    <w:rsid w:val="00ED3A19"/>
    <w:rsid w:val="00EF0D5A"/>
    <w:rsid w:val="00F25BA8"/>
    <w:rsid w:val="00F3723A"/>
    <w:rsid w:val="00F502D6"/>
    <w:rsid w:val="00F5277D"/>
    <w:rsid w:val="00F55066"/>
    <w:rsid w:val="00F61CF3"/>
    <w:rsid w:val="00F92D16"/>
    <w:rsid w:val="00FA023D"/>
    <w:rsid w:val="00FA0900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7</cp:revision>
  <cp:lastPrinted>2019-12-20T13:38:00Z</cp:lastPrinted>
  <dcterms:created xsi:type="dcterms:W3CDTF">2024-08-20T10:47:00Z</dcterms:created>
  <dcterms:modified xsi:type="dcterms:W3CDTF">2024-09-27T08:37:00Z</dcterms:modified>
</cp:coreProperties>
</file>