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44" w:tblpY="706"/>
        <w:tblW w:w="10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1961"/>
        <w:gridCol w:w="1384"/>
      </w:tblGrid>
      <w:tr w:rsidR="00EB23D2" w:rsidRPr="006455C2" w14:paraId="706850A7" w14:textId="77777777" w:rsidTr="00D03574">
        <w:trPr>
          <w:trHeight w:hRule="exact" w:val="456"/>
        </w:trPr>
        <w:tc>
          <w:tcPr>
            <w:tcW w:w="6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76D1F8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25929113"/>
            <w:r w:rsidRPr="006455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E14E860" wp14:editId="3323906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139700</wp:posOffset>
                  </wp:positionV>
                  <wp:extent cx="827405" cy="866775"/>
                  <wp:effectExtent l="0" t="0" r="0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1DE46" w14:textId="77777777" w:rsidR="00EB23D2" w:rsidRPr="006455C2" w:rsidRDefault="00EB23D2" w:rsidP="00D0357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Alaaddin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559912B2" w14:textId="77777777" w:rsidR="00EB23D2" w:rsidRPr="006455C2" w:rsidRDefault="00EB23D2" w:rsidP="00D0357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6C6F2CC0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6455C2">
              <w:rPr>
                <w:rFonts w:ascii="Times New Roman" w:hAnsi="Times New Roman" w:cs="Times New Roman"/>
                <w:b/>
                <w:sz w:val="24"/>
                <w:szCs w:val="24"/>
              </w:rPr>
              <w:t>Advers Etki Bildirim Talimatı</w:t>
            </w:r>
          </w:p>
          <w:p w14:paraId="0014A5C9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8B004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Doküman</w:t>
            </w:r>
            <w:proofErr w:type="spellEnd"/>
            <w:r w:rsidRPr="006455C2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526F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r w:rsidRPr="006455C2">
              <w:rPr>
                <w:rFonts w:ascii="Times New Roman" w:hAnsi="Times New Roman" w:cs="Times New Roman"/>
                <w:lang w:val="en-US"/>
              </w:rPr>
              <w:t>SİY.TL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455C2">
              <w:rPr>
                <w:rFonts w:ascii="Times New Roman" w:hAnsi="Times New Roman" w:cs="Times New Roman"/>
                <w:lang w:val="en-US"/>
              </w:rPr>
              <w:t>01</w:t>
            </w:r>
          </w:p>
        </w:tc>
      </w:tr>
      <w:tr w:rsidR="00EB23D2" w:rsidRPr="006455C2" w14:paraId="2075F84D" w14:textId="77777777" w:rsidTr="00D03574">
        <w:trPr>
          <w:trHeight w:hRule="exact" w:val="354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EAF8D2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8EB2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Yayın</w:t>
            </w:r>
            <w:proofErr w:type="spellEnd"/>
            <w:r w:rsidRPr="006455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706A0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r w:rsidRPr="006455C2">
              <w:rPr>
                <w:rFonts w:ascii="Times New Roman" w:hAnsi="Times New Roman" w:cs="Times New Roman"/>
                <w:lang w:val="en-US"/>
              </w:rPr>
              <w:t>25.02.2022</w:t>
            </w:r>
          </w:p>
        </w:tc>
      </w:tr>
      <w:tr w:rsidR="00EB23D2" w:rsidRPr="006455C2" w14:paraId="26C9C3C0" w14:textId="77777777" w:rsidTr="00D03574">
        <w:trPr>
          <w:trHeight w:hRule="exact" w:val="354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C36315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16EA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Revizyon</w:t>
            </w:r>
            <w:proofErr w:type="spellEnd"/>
            <w:r w:rsidRPr="006455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D345" w14:textId="2C0D2A9B" w:rsidR="00EB23D2" w:rsidRPr="006455C2" w:rsidRDefault="003D2565" w:rsidP="00D035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</w:tr>
      <w:tr w:rsidR="00EB23D2" w:rsidRPr="006455C2" w14:paraId="3AF99CD8" w14:textId="77777777" w:rsidTr="00D03574">
        <w:trPr>
          <w:trHeight w:hRule="exact" w:val="357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773BE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1572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Revizyon</w:t>
            </w:r>
            <w:proofErr w:type="spellEnd"/>
            <w:r w:rsidRPr="006455C2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6C97" w14:textId="15A52491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r w:rsidRPr="006455C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B23D2" w:rsidRPr="006455C2" w14:paraId="2F31D5B7" w14:textId="77777777" w:rsidTr="00D03574">
        <w:trPr>
          <w:trHeight w:hRule="exact" w:val="365"/>
        </w:trPr>
        <w:tc>
          <w:tcPr>
            <w:tcW w:w="6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E8F5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B45B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lang w:val="en-US"/>
              </w:rPr>
              <w:t>Sayfa</w:t>
            </w:r>
            <w:proofErr w:type="spellEnd"/>
            <w:r w:rsidRPr="006455C2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C720" w14:textId="77777777" w:rsidR="00EB23D2" w:rsidRPr="006455C2" w:rsidRDefault="00EB23D2" w:rsidP="00D03574">
            <w:pPr>
              <w:rPr>
                <w:rFonts w:ascii="Times New Roman" w:hAnsi="Times New Roman" w:cs="Times New Roman"/>
                <w:lang w:val="en-US"/>
              </w:rPr>
            </w:pPr>
            <w:r w:rsidRPr="006455C2"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bookmarkEnd w:id="0"/>
    </w:tbl>
    <w:p w14:paraId="25E0A513" w14:textId="77777777" w:rsidR="00EB23D2" w:rsidRPr="006455C2" w:rsidRDefault="00EB23D2" w:rsidP="00EB23D2">
      <w:pPr>
        <w:rPr>
          <w:rFonts w:ascii="Times New Roman" w:hAnsi="Times New Roman" w:cs="Times New Roman"/>
          <w:sz w:val="24"/>
          <w:szCs w:val="24"/>
        </w:rPr>
      </w:pPr>
    </w:p>
    <w:p w14:paraId="36298A57" w14:textId="77777777" w:rsidR="00EB23D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AMAÇ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2AD0D89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Hastalara uygulanan ilaçların güvenli şekilde kullanımlarının sağlanması için Advers etkilerin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sistematik bir şekilde izlenmesi, bilgi toplanması, kayıt altına alınması, değerlendirilmesi,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arşivlenmesi, TÜFAM’ a (Türkiye Farmakovijilans Merkezi) bildirilmesi ve ilaçların yol açabileceği zararın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en az düzeye indirilmesi için gerekli tedbirlerin alınmasıdır ve uygulanmasıdır.</w:t>
      </w:r>
    </w:p>
    <w:p w14:paraId="73ED2A1E" w14:textId="77777777" w:rsidR="00EB23D2" w:rsidRDefault="00EB23D2" w:rsidP="00EB23D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2. KAPSAM</w:t>
      </w:r>
    </w:p>
    <w:p w14:paraId="6C75A9B9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Bu talimat kliniklerde kullanılan ilaçların advers etki bildirimlerini kapsar.</w:t>
      </w:r>
    </w:p>
    <w:p w14:paraId="78FCFC8A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3. SORUMLULAR: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Kurum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Yönetimi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Farmakovijilans Sorumlusu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tüm çalışanlar</w:t>
      </w:r>
      <w:r w:rsidRPr="006455C2">
        <w:rPr>
          <w:rFonts w:ascii="Times New Roman" w:hAnsi="Times New Roman" w:cs="Times New Roman"/>
          <w:sz w:val="24"/>
          <w:szCs w:val="24"/>
        </w:rPr>
        <w:br/>
      </w:r>
    </w:p>
    <w:p w14:paraId="1C712E59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4. KISALTMALAR</w:t>
      </w:r>
      <w:r w:rsidRPr="006455C2">
        <w:rPr>
          <w:rFonts w:ascii="Times New Roman" w:hAnsi="Times New Roman" w:cs="Times New Roman"/>
          <w:sz w:val="24"/>
          <w:szCs w:val="24"/>
        </w:rPr>
        <w:t>: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TİTCK: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Türkiye İlaç ve Tıbbi Cihaz Kurumu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TÜFAM: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Türkiye Farmakovijilans Merkez</w:t>
      </w:r>
    </w:p>
    <w:p w14:paraId="3D0BDBAE" w14:textId="35B707BF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5. TANIMLAR: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Advers etki: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Bir beşeri tıbbi ürünün hastalıktan korunma, bir hastalığın teşhis veya fizyolojik fonksiyonun iyileştirilmesi, düzeltilmesi amacıyla kabul edilen normal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dozlarda kullanımında ortaya çıkan zararlı bir etkidir.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Ciddi Advers Etki: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Ölüme, hastaneye yatmaya ya da hastanede kalma süresinin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uzamasına, kalıcı veya belirgin sakatlığa, konjenital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anomaliye veya doğumsal bir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kusura neden olan advers etkidir.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Farmakovijilans: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Advers etkilerin ve beşeri tıbbi ürünlere bağlı diğer muhtemel sorunların saptanması,</w:t>
      </w:r>
      <w:r w:rsidR="00525A36"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değerlendirilmesi ve önlenmesi ile ilgili bilimsel çalışmalardır.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Beşeri Tıbbi Ürün: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Hastalığı tedavi etmek veya önlemek, fizyolojik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fonksiyonu düzeltmek ve değiştirmek amacıyla, insana uygulanan doğal kaynaklı etkin madde kombinasyonudur.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Farmakovijilans İrtibat Noktası: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Sağlık kuruluşunda advers etkilerin bildirilmesini teşvik etmekten,</w:t>
      </w:r>
      <w:r w:rsidR="00525A36"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farmakovijilans verilerini toplamaktan ve TÜFAM’ a iletmekten, gerektiğinde eğitim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ve bilgilendirme çalışmaları yapmaktan sorumlu şahsı veya konu ile ilgili birimi ifade eder.</w:t>
      </w:r>
    </w:p>
    <w:p w14:paraId="0AF789C4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TÜFAM: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Sağlık Bakanlığı Türkiye İlaç ve Tıbbi Cihaz Kurumu (TİTCK) bünyesinde kurulmuş olan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Türkiye Farmakovijilans Merkezi’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(TÜFAM) ifade eder.</w:t>
      </w:r>
    </w:p>
    <w:p w14:paraId="556CD8BA" w14:textId="77777777" w:rsidR="00EB23D2" w:rsidRDefault="00EB23D2" w:rsidP="00EB23D2">
      <w:pPr>
        <w:rPr>
          <w:rFonts w:ascii="Times New Roman" w:hAnsi="Times New Roman" w:cs="Times New Roman"/>
          <w:sz w:val="24"/>
          <w:szCs w:val="24"/>
        </w:rPr>
      </w:pP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TALİMATLAR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Farmakovijilans Sorumlusunun Görevlendirilmesi: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Merkez müdürü, hastanede çalışan bir hekimi advers etki takibi ve bildirimlerini yapmak üzere,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33E12" w14:textId="77777777" w:rsidR="00EB23D2" w:rsidRDefault="00EB23D2" w:rsidP="00EB23D2">
      <w:pPr>
        <w:rPr>
          <w:rFonts w:ascii="Times New Roman" w:hAnsi="Times New Roman" w:cs="Times New Roman"/>
          <w:sz w:val="24"/>
          <w:szCs w:val="24"/>
        </w:rPr>
      </w:pPr>
    </w:p>
    <w:p w14:paraId="1C3124F6" w14:textId="77777777" w:rsidR="00EB23D2" w:rsidRDefault="00EB23D2" w:rsidP="00EB23D2">
      <w:pPr>
        <w:rPr>
          <w:rFonts w:ascii="Times New Roman" w:hAnsi="Times New Roman" w:cs="Times New Roman"/>
          <w:sz w:val="24"/>
          <w:szCs w:val="24"/>
        </w:rPr>
      </w:pPr>
    </w:p>
    <w:p w14:paraId="2463C4D7" w14:textId="77777777" w:rsidR="00EB23D2" w:rsidRDefault="00EB23D2" w:rsidP="00EB23D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resmi</w:t>
      </w:r>
      <w:proofErr w:type="gram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yazı ile Farmakovijilans Sorumlusu olarak görevlendirir.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Farmakovijilans Sorumlusu kalite birimi tarafından tüm hastane birimlerine bildirilir.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Görevin tebliğinden sonra kalite birimi tarafından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Farmakovijilans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Sorumlusu’nun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ismi, mesleki özgeçmişi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ve iletişim bilgileri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TÜFAM’a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ve Farmakovijilans İl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Sorumlusu’na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resmi yazı ile bildirilir.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Farmakovijilans Sorumlusunun hastanemizden ayrılması durumunda Merkez Müdürü tarafından yeni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Farmakovijilans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Sorumlusu’nun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görevlendirilmesi 10 gün içerisinde yapılır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B544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832CEC" w14:textId="4B2ED9FE" w:rsidR="00EB23D2" w:rsidRDefault="00EB23D2" w:rsidP="00EB23D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F</w:t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armakovijilans </w:t>
      </w:r>
      <w:proofErr w:type="spellStart"/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Sorumlusu’nun</w:t>
      </w:r>
      <w:proofErr w:type="spellEnd"/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Görevleri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br/>
        <w:t>TÜFAM tarafından ilan edilecek eğitim toplantılarına katılır.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Farmakovijilans ile ilgili bilgilendirme toplantılarını </w:t>
      </w:r>
      <w:r w:rsidRPr="00EB23D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yılda en az bir kez düzenler.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Eğitim Hemşiresi ile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iletişime geçerek Advers Etki konulu eğitim için ilaç uygulama alanlarındaki hekim, hemşire, sağlık</w:t>
      </w:r>
      <w:r w:rsidRPr="006455C2">
        <w:rPr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memuru ve diğer sağlık mesleği mensuplarına uygun olarak planlama yapar.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Farmakovijilans Sorumlusuna Advers Etki Bildirimlerinin Yapılması:</w:t>
      </w:r>
      <w:r w:rsidRPr="006455C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Ciddi ve beklenmeyen advers reaksiyonları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tespit eden sağlık çalışanı, Advers Etki Bildirim Formunu doldurarak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Farmakovijilans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Sorumlusu’na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iletir.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Advers Etkinin </w:t>
      </w:r>
      <w:proofErr w:type="spellStart"/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>TÜFAM’a</w:t>
      </w:r>
      <w:proofErr w:type="spellEnd"/>
      <w:r w:rsidRPr="006455C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Bildirilmesi:</w:t>
      </w:r>
      <w:r w:rsidRPr="006455C2">
        <w:rPr>
          <w:rFonts w:ascii="Times New Roman" w:hAnsi="Times New Roman" w:cs="Times New Roman"/>
          <w:sz w:val="24"/>
          <w:szCs w:val="24"/>
        </w:rPr>
        <w:br/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Farmakovijilans Sorumlusu,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ciddi ve beklenmeyen advers reaksiyonları ‘‘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Advers Etki Bildirim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Formu’nu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’’ en geç 15 gün içinde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Türkiye Farmakovijilans Merkezi (TÜFAM)’ne mail,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fax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ya da posta ile bildirir. Bildirim süreci boyunca farmakovijilans sorumlusu TİTCK tarafından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yayınlanan TÜFAM: Sağlık Bakanlığı Türkiye İlaç ve Tıbbi Cihaz Kurumu (TİTCK) bünyesinde kurulmuş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olan Türkiye Farmakovijilans Merkezi’ </w:t>
      </w:r>
      <w:proofErr w:type="spellStart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proofErr w:type="spellEnd"/>
      <w:r w:rsidRPr="006455C2">
        <w:rPr>
          <w:rStyle w:val="markedcontent"/>
          <w:rFonts w:ascii="Times New Roman" w:hAnsi="Times New Roman" w:cs="Times New Roman"/>
          <w:sz w:val="24"/>
          <w:szCs w:val="24"/>
        </w:rPr>
        <w:t xml:space="preserve"> (TÜFAM) ifade eder.</w:t>
      </w:r>
    </w:p>
    <w:p w14:paraId="2063B253" w14:textId="5D02F6CB" w:rsidR="008C3817" w:rsidRDefault="008C3817" w:rsidP="00EB23D2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C381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İLGİLİ DOKÜMANLAR</w:t>
      </w:r>
    </w:p>
    <w:p w14:paraId="2AF2D629" w14:textId="451527A0" w:rsidR="008C3817" w:rsidRPr="003D2565" w:rsidRDefault="003D2565" w:rsidP="00EB2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2565">
        <w:rPr>
          <w:rFonts w:ascii="Times New Roman" w:hAnsi="Times New Roman" w:cs="Times New Roman"/>
          <w:sz w:val="24"/>
          <w:szCs w:val="24"/>
        </w:rPr>
        <w:t>Adevers</w:t>
      </w:r>
      <w:proofErr w:type="spellEnd"/>
      <w:r w:rsidRPr="003D2565">
        <w:rPr>
          <w:rFonts w:ascii="Times New Roman" w:hAnsi="Times New Roman" w:cs="Times New Roman"/>
          <w:sz w:val="24"/>
          <w:szCs w:val="24"/>
        </w:rPr>
        <w:t xml:space="preserve"> Etki Bildirim Formu</w:t>
      </w:r>
    </w:p>
    <w:p w14:paraId="1D5F11C8" w14:textId="77777777" w:rsidR="00EB23D2" w:rsidRPr="006455C2" w:rsidRDefault="00EB23D2" w:rsidP="00EB23D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="-444" w:tblpY="706"/>
        <w:tblW w:w="10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1961"/>
        <w:gridCol w:w="1384"/>
      </w:tblGrid>
      <w:tr w:rsidR="00EB23D2" w:rsidRPr="006455C2" w14:paraId="09E06522" w14:textId="77777777" w:rsidTr="00D03574">
        <w:trPr>
          <w:trHeight w:hRule="exact" w:val="456"/>
        </w:trPr>
        <w:tc>
          <w:tcPr>
            <w:tcW w:w="6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39FA66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667B4FA" wp14:editId="0396DAC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139700</wp:posOffset>
                  </wp:positionV>
                  <wp:extent cx="827405" cy="866775"/>
                  <wp:effectExtent l="0" t="0" r="0" b="9525"/>
                  <wp:wrapSquare wrapText="bothSides"/>
                  <wp:docPr id="2" name="Resim 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8059A" w14:textId="77777777" w:rsidR="00EB23D2" w:rsidRPr="006455C2" w:rsidRDefault="00EB23D2" w:rsidP="00D0357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Alaaddin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600BCA06" w14:textId="77777777" w:rsidR="00EB23D2" w:rsidRPr="006455C2" w:rsidRDefault="00EB23D2" w:rsidP="00D03574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3F52234B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6455C2">
              <w:rPr>
                <w:rFonts w:ascii="Times New Roman" w:hAnsi="Times New Roman" w:cs="Times New Roman"/>
                <w:b/>
                <w:sz w:val="24"/>
                <w:szCs w:val="24"/>
              </w:rPr>
              <w:t>Advers Etki Bildirim Talimatı</w:t>
            </w:r>
          </w:p>
          <w:p w14:paraId="4D20C94A" w14:textId="77777777" w:rsidR="00EB23D2" w:rsidRPr="006455C2" w:rsidRDefault="00EB23D2" w:rsidP="00D03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FBF0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Doküman</w:t>
            </w:r>
            <w:proofErr w:type="spellEnd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2125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SİY.TL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EB23D2" w:rsidRPr="006455C2" w14:paraId="20EF86F8" w14:textId="77777777" w:rsidTr="00D03574">
        <w:trPr>
          <w:trHeight w:hRule="exact" w:val="354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9470EB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9740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4EB7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25.02.2022</w:t>
            </w:r>
          </w:p>
        </w:tc>
      </w:tr>
      <w:tr w:rsidR="00EB23D2" w:rsidRPr="006455C2" w14:paraId="6E08277A" w14:textId="77777777" w:rsidTr="00D03574">
        <w:trPr>
          <w:trHeight w:hRule="exact" w:val="354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198C52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F06C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0F6A" w14:textId="6BAE6092" w:rsidR="00EB23D2" w:rsidRPr="006455C2" w:rsidRDefault="003D2565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03.05.2023</w:t>
            </w:r>
          </w:p>
        </w:tc>
      </w:tr>
      <w:tr w:rsidR="00EB23D2" w:rsidRPr="006455C2" w14:paraId="65FDD981" w14:textId="77777777" w:rsidTr="00D03574">
        <w:trPr>
          <w:trHeight w:hRule="exact" w:val="357"/>
        </w:trPr>
        <w:tc>
          <w:tcPr>
            <w:tcW w:w="6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DF6895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0050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AEB" w14:textId="7B78825F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B23D2" w:rsidRPr="006455C2" w14:paraId="430F22C8" w14:textId="77777777" w:rsidTr="00D03574">
        <w:trPr>
          <w:trHeight w:hRule="exact" w:val="365"/>
        </w:trPr>
        <w:tc>
          <w:tcPr>
            <w:tcW w:w="6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056D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FF17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DCB0" w14:textId="77777777" w:rsidR="00EB23D2" w:rsidRPr="006455C2" w:rsidRDefault="00EB23D2" w:rsidP="00D03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</w:tbl>
    <w:p w14:paraId="36B61A24" w14:textId="77777777" w:rsidR="00EB23D2" w:rsidRPr="006455C2" w:rsidRDefault="00EB23D2" w:rsidP="00EB23D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4E6DDFD" w14:textId="77777777" w:rsidR="00DE2626" w:rsidRDefault="00DE2626"/>
    <w:sectPr w:rsidR="00DE2626" w:rsidSect="00714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A66F" w14:textId="77777777" w:rsidR="00C76FC7" w:rsidRDefault="00C76FC7">
      <w:pPr>
        <w:spacing w:after="0" w:line="240" w:lineRule="auto"/>
      </w:pPr>
      <w:r>
        <w:separator/>
      </w:r>
    </w:p>
  </w:endnote>
  <w:endnote w:type="continuationSeparator" w:id="0">
    <w:p w14:paraId="7473FB40" w14:textId="77777777" w:rsidR="00C76FC7" w:rsidRDefault="00C7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4F4" w14:textId="77777777" w:rsidR="006518AF" w:rsidRDefault="006518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C747" w14:textId="77777777" w:rsidR="006455C2" w:rsidRDefault="00000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58C8" w14:textId="77777777" w:rsidR="006518AF" w:rsidRDefault="00651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BB75" w14:textId="77777777" w:rsidR="00C76FC7" w:rsidRDefault="00C76FC7">
      <w:pPr>
        <w:spacing w:after="0" w:line="240" w:lineRule="auto"/>
      </w:pPr>
      <w:r>
        <w:separator/>
      </w:r>
    </w:p>
  </w:footnote>
  <w:footnote w:type="continuationSeparator" w:id="0">
    <w:p w14:paraId="70089A18" w14:textId="77777777" w:rsidR="00C76FC7" w:rsidRDefault="00C7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FEC5" w14:textId="77777777" w:rsidR="006518AF" w:rsidRDefault="006518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1824" w14:textId="77777777" w:rsidR="006518AF" w:rsidRDefault="006518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6E36" w14:textId="77777777" w:rsidR="006518AF" w:rsidRDefault="006518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26"/>
    <w:rsid w:val="001221C8"/>
    <w:rsid w:val="003D2565"/>
    <w:rsid w:val="00525A36"/>
    <w:rsid w:val="006518AF"/>
    <w:rsid w:val="006C1AEB"/>
    <w:rsid w:val="006C7728"/>
    <w:rsid w:val="008C3817"/>
    <w:rsid w:val="009734AE"/>
    <w:rsid w:val="00C04A40"/>
    <w:rsid w:val="00C76FC7"/>
    <w:rsid w:val="00CA0436"/>
    <w:rsid w:val="00DE2626"/>
    <w:rsid w:val="00EB23D2"/>
    <w:rsid w:val="00ED7D5C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3D0"/>
  <w15:chartTrackingRefBased/>
  <w15:docId w15:val="{9621019F-273C-4075-9E17-58268CD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D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B23D2"/>
  </w:style>
  <w:style w:type="paragraph" w:styleId="AltBilgi">
    <w:name w:val="footer"/>
    <w:basedOn w:val="Normal"/>
    <w:link w:val="AltBilgiChar"/>
    <w:uiPriority w:val="99"/>
    <w:unhideWhenUsed/>
    <w:rsid w:val="00EB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3D2"/>
    <w:rPr>
      <w:kern w:val="0"/>
      <w14:ligatures w14:val="none"/>
    </w:rPr>
  </w:style>
  <w:style w:type="table" w:styleId="TabloKlavuzu">
    <w:name w:val="Table Grid"/>
    <w:basedOn w:val="NormalTablo"/>
    <w:uiPriority w:val="39"/>
    <w:rsid w:val="00EB23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A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21</cp:revision>
  <cp:lastPrinted>2023-05-03T10:55:00Z</cp:lastPrinted>
  <dcterms:created xsi:type="dcterms:W3CDTF">2023-04-27T11:23:00Z</dcterms:created>
  <dcterms:modified xsi:type="dcterms:W3CDTF">2023-05-08T11:28:00Z</dcterms:modified>
</cp:coreProperties>
</file>