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982A1" w14:textId="77777777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20122">
        <w:rPr>
          <w:rFonts w:ascii="Times New Roman" w:hAnsi="Times New Roman" w:cs="Times New Roman"/>
          <w:b/>
          <w:bCs/>
        </w:rPr>
        <w:t>1. AMAÇ</w:t>
      </w:r>
    </w:p>
    <w:p w14:paraId="33A9C556" w14:textId="03F8E1CD" w:rsid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820122">
        <w:rPr>
          <w:rFonts w:ascii="Times New Roman" w:hAnsi="Times New Roman" w:cs="Times New Roman"/>
        </w:rPr>
        <w:t>Bu Prosedür; fakültemizde sunulan sağlık hizmetlerinin insan haysiyetine yakışır şekilde</w:t>
      </w:r>
      <w:r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herkesin “Hasta Haklarından</w:t>
      </w:r>
      <w:r>
        <w:rPr>
          <w:rFonts w:ascii="Times New Roman" w:hAnsi="Times New Roman" w:cs="Times New Roman"/>
        </w:rPr>
        <w:t xml:space="preserve">” </w:t>
      </w:r>
      <w:r w:rsidRPr="00820122">
        <w:rPr>
          <w:rFonts w:ascii="Times New Roman" w:hAnsi="Times New Roman" w:cs="Times New Roman"/>
        </w:rPr>
        <w:t>faydalanabilmesini, hak ihlallerinden korunabilmesini ve</w:t>
      </w:r>
      <w:r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gerektiğinde hukuki korunma yollarını fiilen kullanabilmesine dair usul ve esasların</w:t>
      </w:r>
      <w:r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düzenlenmesini, hasta ve çalışan arasındaki uyumun sağlanmasını, sunulan hizmetlerin eşit,</w:t>
      </w:r>
      <w:r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kaliteli ve etkin olarak sunulmasını sağlamak amacı ile hazırlanmıştır.</w:t>
      </w:r>
    </w:p>
    <w:p w14:paraId="4BA5CF05" w14:textId="77777777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</w:p>
    <w:p w14:paraId="2536DCC8" w14:textId="44C0AFCF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20122">
        <w:rPr>
          <w:rFonts w:ascii="Times New Roman" w:hAnsi="Times New Roman" w:cs="Times New Roman"/>
          <w:b/>
          <w:bCs/>
        </w:rPr>
        <w:t>2. KAPSAM</w:t>
      </w:r>
    </w:p>
    <w:p w14:paraId="25A1DF69" w14:textId="77777777" w:rsid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820122">
        <w:rPr>
          <w:rFonts w:ascii="Times New Roman" w:hAnsi="Times New Roman" w:cs="Times New Roman"/>
        </w:rPr>
        <w:t>Fakültemizin tüm birimlerini ve çalışanlarını kapsar ve uygulanır.</w:t>
      </w:r>
    </w:p>
    <w:p w14:paraId="3290090F" w14:textId="77777777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E0473AB" w14:textId="77777777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20122">
        <w:rPr>
          <w:rFonts w:ascii="Times New Roman" w:hAnsi="Times New Roman" w:cs="Times New Roman"/>
          <w:b/>
          <w:bCs/>
        </w:rPr>
        <w:t>3. TANIMLAR</w:t>
      </w:r>
    </w:p>
    <w:p w14:paraId="076CB930" w14:textId="6D84B45F" w:rsidR="00820122" w:rsidRPr="00F53B70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CB604B">
        <w:rPr>
          <w:rFonts w:ascii="Times New Roman" w:hAnsi="Times New Roman" w:cs="Times New Roman"/>
          <w:b/>
          <w:bCs/>
        </w:rPr>
        <w:t>3.1. Hasta Hakları:</w:t>
      </w:r>
      <w:r w:rsidRPr="00F53B70">
        <w:rPr>
          <w:rFonts w:ascii="Times New Roman" w:hAnsi="Times New Roman" w:cs="Times New Roman"/>
        </w:rPr>
        <w:t xml:space="preserve"> Türkiye Büyük Millet Meclisi tarafından kabul edilen uluslararası sözleşmelerde ve ulusal mevzuatta belirlenen hasta haklarını,</w:t>
      </w:r>
    </w:p>
    <w:p w14:paraId="6323CBCE" w14:textId="2067D4D2" w:rsid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CB604B">
        <w:rPr>
          <w:rFonts w:ascii="Times New Roman" w:hAnsi="Times New Roman" w:cs="Times New Roman"/>
          <w:b/>
          <w:bCs/>
        </w:rPr>
        <w:t>3.2. Hasta Hakları Birimi:</w:t>
      </w:r>
      <w:r w:rsidRPr="00820122">
        <w:rPr>
          <w:rFonts w:ascii="Times New Roman" w:hAnsi="Times New Roman" w:cs="Times New Roman"/>
        </w:rPr>
        <w:t xml:space="preserve"> Fakültede, hasta hakları ihlallerinin önlenmesi amacıyla</w:t>
      </w:r>
      <w:r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başvuruları kabul eden, acil sorunlara yönelik çözümü sağlayan ve bir üst birimi</w:t>
      </w:r>
      <w:r w:rsidR="00F53B70"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bilgilendiren, sağlık çalışanlarının ve hastaların hasta hakları ile ilgili eğitimlerinden</w:t>
      </w:r>
      <w:r w:rsidR="00F53B70"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sorumlu birimi</w:t>
      </w:r>
      <w:r w:rsidR="00CB604B">
        <w:rPr>
          <w:rFonts w:ascii="Times New Roman" w:hAnsi="Times New Roman" w:cs="Times New Roman"/>
        </w:rPr>
        <w:t>.</w:t>
      </w:r>
    </w:p>
    <w:p w14:paraId="30CF6BD0" w14:textId="77777777" w:rsidR="00CB604B" w:rsidRPr="00820122" w:rsidRDefault="00CB604B" w:rsidP="00820122">
      <w:pPr>
        <w:pStyle w:val="Default"/>
        <w:jc w:val="both"/>
        <w:rPr>
          <w:rFonts w:ascii="Times New Roman" w:hAnsi="Times New Roman" w:cs="Times New Roman"/>
        </w:rPr>
      </w:pPr>
    </w:p>
    <w:p w14:paraId="6F4E8443" w14:textId="77777777" w:rsidR="00820122" w:rsidRPr="00CB604B" w:rsidRDefault="00820122" w:rsidP="0082012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B604B">
        <w:rPr>
          <w:rFonts w:ascii="Times New Roman" w:hAnsi="Times New Roman" w:cs="Times New Roman"/>
          <w:b/>
          <w:bCs/>
        </w:rPr>
        <w:t>4. SORUMLULAR</w:t>
      </w:r>
    </w:p>
    <w:p w14:paraId="3213BA7D" w14:textId="6B024263" w:rsid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820122">
        <w:rPr>
          <w:rFonts w:ascii="Times New Roman" w:hAnsi="Times New Roman" w:cs="Times New Roman"/>
        </w:rPr>
        <w:t>Üst yönetim başta olmak üzere Hasta Hakları Birimi, Kalite Yönetim Birimi ve tüm</w:t>
      </w:r>
      <w:r w:rsidR="00F53B70"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çalışanları sorumludur.</w:t>
      </w:r>
    </w:p>
    <w:p w14:paraId="4DA9E37D" w14:textId="77777777" w:rsidR="00CB604B" w:rsidRPr="00CB604B" w:rsidRDefault="00CB604B" w:rsidP="0082012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9E61BC9" w14:textId="77777777" w:rsidR="00820122" w:rsidRPr="00CB604B" w:rsidRDefault="00820122" w:rsidP="0082012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B604B">
        <w:rPr>
          <w:rFonts w:ascii="Times New Roman" w:hAnsi="Times New Roman" w:cs="Times New Roman"/>
          <w:b/>
          <w:bCs/>
        </w:rPr>
        <w:t>5. FAALİYET AKIŞI</w:t>
      </w:r>
    </w:p>
    <w:p w14:paraId="277A10D4" w14:textId="2F83A61F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CB604B">
        <w:rPr>
          <w:rFonts w:ascii="Times New Roman" w:hAnsi="Times New Roman" w:cs="Times New Roman"/>
          <w:b/>
          <w:bCs/>
        </w:rPr>
        <w:t>5.1.</w:t>
      </w:r>
      <w:r w:rsidRPr="00820122">
        <w:rPr>
          <w:rFonts w:ascii="Times New Roman" w:hAnsi="Times New Roman" w:cs="Times New Roman"/>
        </w:rPr>
        <w:t xml:space="preserve"> Herhangi bir gerekçeyle hasta haklarına danışmak isteyen kişiler “Hasta Hakları</w:t>
      </w:r>
      <w:r w:rsidR="00F53B70"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Birimine” yönlendirilir. “Hasta Hakları Birimine” başvuran kişiler kurum tarafından</w:t>
      </w:r>
      <w:r w:rsidR="00F53B70"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belirlenmiş olan Hasta Hakları Sorumlusu tarafından karşılanır.</w:t>
      </w:r>
    </w:p>
    <w:p w14:paraId="280A05DE" w14:textId="354B6F0A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CB604B">
        <w:rPr>
          <w:rFonts w:ascii="Times New Roman" w:hAnsi="Times New Roman" w:cs="Times New Roman"/>
          <w:b/>
          <w:bCs/>
        </w:rPr>
        <w:t>5.2.</w:t>
      </w:r>
      <w:r w:rsidRPr="00820122">
        <w:rPr>
          <w:rFonts w:ascii="Times New Roman" w:hAnsi="Times New Roman" w:cs="Times New Roman"/>
        </w:rPr>
        <w:t xml:space="preserve"> Hasta Hakları birimine hangi gerekçeyle gelindiyse kişilerin başvurusu alınır ve ilk</w:t>
      </w:r>
      <w:r w:rsidR="00F53B70"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görüşme yapılır. “Hasta Hakları Başvuru Formu” (EK-5) doldurulur. Başvuru sahibine bilgi</w:t>
      </w:r>
      <w:r w:rsidR="00F53B70"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verilir ve gerekli hallerde hastaya danışmanlık yapılır.</w:t>
      </w:r>
    </w:p>
    <w:p w14:paraId="0C304A31" w14:textId="60D3AD3E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CB604B">
        <w:rPr>
          <w:rFonts w:ascii="Times New Roman" w:hAnsi="Times New Roman" w:cs="Times New Roman"/>
          <w:b/>
          <w:bCs/>
        </w:rPr>
        <w:t>5.3.</w:t>
      </w:r>
      <w:r w:rsidRPr="00820122">
        <w:rPr>
          <w:rFonts w:ascii="Times New Roman" w:hAnsi="Times New Roman" w:cs="Times New Roman"/>
        </w:rPr>
        <w:t xml:space="preserve"> Başvuru sahibinin şikâyeti veya problemi dinlenir. Duruma göre yönlendirme yapılır.</w:t>
      </w:r>
      <w:r w:rsidR="00F53B70"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Eğer hasta şikâyeti varsa genellikle sorun yerinde çözülmeye çalışılır ve çözülen sorunlar</w:t>
      </w:r>
      <w:r w:rsidR="00F53B70"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 xml:space="preserve">"Yerinde Çözülen Sorunlar Defteri “ne kaydedilir ve </w:t>
      </w:r>
      <w:proofErr w:type="spellStart"/>
      <w:r w:rsidR="00F53B70">
        <w:rPr>
          <w:rFonts w:ascii="Times New Roman" w:hAnsi="Times New Roman" w:cs="Times New Roman"/>
        </w:rPr>
        <w:t>excel</w:t>
      </w:r>
      <w:proofErr w:type="spellEnd"/>
      <w:r w:rsidR="00F53B70">
        <w:rPr>
          <w:rFonts w:ascii="Times New Roman" w:hAnsi="Times New Roman" w:cs="Times New Roman"/>
        </w:rPr>
        <w:t xml:space="preserve"> formunda dijital olarak kayıtlı tutulur.</w:t>
      </w:r>
    </w:p>
    <w:p w14:paraId="339AF226" w14:textId="77777777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CB604B">
        <w:rPr>
          <w:rFonts w:ascii="Times New Roman" w:hAnsi="Times New Roman" w:cs="Times New Roman"/>
          <w:b/>
          <w:bCs/>
        </w:rPr>
        <w:t>5.4.</w:t>
      </w:r>
      <w:r w:rsidRPr="00820122">
        <w:rPr>
          <w:rFonts w:ascii="Times New Roman" w:hAnsi="Times New Roman" w:cs="Times New Roman"/>
        </w:rPr>
        <w:t xml:space="preserve"> Yerinde çözülemeyen sorunlar için;</w:t>
      </w:r>
    </w:p>
    <w:p w14:paraId="26802784" w14:textId="75297ABA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820122">
        <w:rPr>
          <w:rFonts w:ascii="Times New Roman" w:hAnsi="Times New Roman" w:cs="Times New Roman"/>
        </w:rPr>
        <w:t>♦ “Hasta Hakları Başvuru Formu”, doldurulur ve internet aracılığı ile İl Hasta Hakları</w:t>
      </w:r>
      <w:r w:rsidR="004768C3"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Kuruluna” bildirilir.</w:t>
      </w:r>
    </w:p>
    <w:p w14:paraId="1D78B32B" w14:textId="77777777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820122">
        <w:rPr>
          <w:rFonts w:ascii="Times New Roman" w:hAnsi="Times New Roman" w:cs="Times New Roman"/>
        </w:rPr>
        <w:t>♦ Acil bir durum söz konusu olduğunda çözülmesi için Üst Yönetime bilgi verilir.</w:t>
      </w:r>
    </w:p>
    <w:p w14:paraId="30E5AE38" w14:textId="08C73B2A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820122">
        <w:rPr>
          <w:rFonts w:ascii="Times New Roman" w:hAnsi="Times New Roman" w:cs="Times New Roman"/>
        </w:rPr>
        <w:t>♦ Hakkında başvuru yapılan çalışan hakkında aynı gün hasta hakları sorumlusu ve üst</w:t>
      </w:r>
      <w:r w:rsidR="004768C3"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yönetimin imzası ile “Bilgi İsteme Formu” (EK-7) ile bilgi istenir. Taraflar dışında bilgi</w:t>
      </w:r>
      <w:r w:rsidR="004768C3"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alınması gereken kişiler varsa onlardan da bilgi istenir.</w:t>
      </w:r>
    </w:p>
    <w:p w14:paraId="6EC2433E" w14:textId="0F63A71D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820122">
        <w:rPr>
          <w:rFonts w:ascii="Times New Roman" w:hAnsi="Times New Roman" w:cs="Times New Roman"/>
        </w:rPr>
        <w:t>♦ “Bilgi Formuna” (2) iki gün içerisinde cevap verilmek zorundadır. Bilgi isteme</w:t>
      </w:r>
      <w:r w:rsidR="004768C3"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formunda bilgi istenen kişinin ismi dışında kişisel bilgilerinin gizli tutulması sağlanır.</w:t>
      </w:r>
      <w:r w:rsidR="004768C3"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Form imza karşılığı teslim edilir ve imza karşılığı alınır.</w:t>
      </w:r>
    </w:p>
    <w:p w14:paraId="1F46D963" w14:textId="3A198E0B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820122">
        <w:rPr>
          <w:rFonts w:ascii="Times New Roman" w:hAnsi="Times New Roman" w:cs="Times New Roman"/>
        </w:rPr>
        <w:t>♦ Alınan tüm bilgi ve belgeler dosya haline getirilir ve görüşülmek üzere “Hasta Hakları</w:t>
      </w:r>
      <w:r w:rsidR="004768C3"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Kuruluna” gönderilir.</w:t>
      </w:r>
    </w:p>
    <w:p w14:paraId="6A154BAA" w14:textId="0988FF71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820122">
        <w:rPr>
          <w:rFonts w:ascii="Times New Roman" w:hAnsi="Times New Roman" w:cs="Times New Roman"/>
        </w:rPr>
        <w:lastRenderedPageBreak/>
        <w:t>♦ Hasta Hakları Kurulunda alınan kararlar, ilgili kuruma iletilir. Gelen raporlar</w:t>
      </w:r>
      <w:r w:rsidR="004768C3"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bilgisayar ve dosyalarda arşivlenir.</w:t>
      </w:r>
    </w:p>
    <w:p w14:paraId="222515FD" w14:textId="5BE23E5A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820122">
        <w:rPr>
          <w:rFonts w:ascii="Times New Roman" w:hAnsi="Times New Roman" w:cs="Times New Roman"/>
        </w:rPr>
        <w:t>♦ Çalışanların kusurlu bulunması halinde; ilgili mevzuata göre idare tarafından işlem</w:t>
      </w:r>
      <w:r w:rsidR="004768C3"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 xml:space="preserve">yapılması açısından “Hasta Hakları Kurulu </w:t>
      </w:r>
      <w:r w:rsidR="00A82DC6">
        <w:rPr>
          <w:rFonts w:ascii="Times New Roman" w:hAnsi="Times New Roman" w:cs="Times New Roman"/>
        </w:rPr>
        <w:t>Toplantı Karar</w:t>
      </w:r>
      <w:r w:rsidRPr="00820122">
        <w:rPr>
          <w:rFonts w:ascii="Times New Roman" w:hAnsi="Times New Roman" w:cs="Times New Roman"/>
        </w:rPr>
        <w:t xml:space="preserve"> Formu” ile bildirilir.</w:t>
      </w:r>
    </w:p>
    <w:p w14:paraId="03C93DB7" w14:textId="77777777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820122">
        <w:rPr>
          <w:rFonts w:ascii="Times New Roman" w:hAnsi="Times New Roman" w:cs="Times New Roman"/>
        </w:rPr>
        <w:t>♦ Başvuru sonucunda alınan karar ilgililere yazılı olarak bildirilir.</w:t>
      </w:r>
    </w:p>
    <w:p w14:paraId="5A514ECD" w14:textId="77777777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820122">
        <w:rPr>
          <w:rFonts w:ascii="Times New Roman" w:hAnsi="Times New Roman" w:cs="Times New Roman"/>
        </w:rPr>
        <w:t>♦ Sonuçlar internet aracılığı ile ilgili birimlere bildirilir.</w:t>
      </w:r>
    </w:p>
    <w:p w14:paraId="3B31AFD2" w14:textId="7C32E62C" w:rsidR="00CB604B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820122">
        <w:rPr>
          <w:rFonts w:ascii="Times New Roman" w:hAnsi="Times New Roman" w:cs="Times New Roman"/>
        </w:rPr>
        <w:t>♦ Yapılan tüm işlemlerde gizlilik sağlanır.</w:t>
      </w:r>
    </w:p>
    <w:p w14:paraId="39F28047" w14:textId="2F3DE895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CB604B">
        <w:rPr>
          <w:rFonts w:ascii="Times New Roman" w:hAnsi="Times New Roman" w:cs="Times New Roman"/>
          <w:b/>
          <w:bCs/>
        </w:rPr>
        <w:t>5.5.</w:t>
      </w:r>
      <w:r w:rsidRPr="00820122">
        <w:rPr>
          <w:rFonts w:ascii="Times New Roman" w:hAnsi="Times New Roman" w:cs="Times New Roman"/>
        </w:rPr>
        <w:t xml:space="preserve"> Hasta Hakları ile ilgili bildirimler, telefon, görüş ve öneri kutuları, </w:t>
      </w:r>
      <w:proofErr w:type="gramStart"/>
      <w:r w:rsidRPr="00820122">
        <w:rPr>
          <w:rFonts w:ascii="Times New Roman" w:hAnsi="Times New Roman" w:cs="Times New Roman"/>
        </w:rPr>
        <w:t>e-mail</w:t>
      </w:r>
      <w:proofErr w:type="gramEnd"/>
      <w:r w:rsidRPr="00820122">
        <w:rPr>
          <w:rFonts w:ascii="Times New Roman" w:hAnsi="Times New Roman" w:cs="Times New Roman"/>
        </w:rPr>
        <w:t>, CİMER</w:t>
      </w:r>
      <w:r w:rsidR="004768C3">
        <w:rPr>
          <w:rFonts w:ascii="Times New Roman" w:hAnsi="Times New Roman" w:cs="Times New Roman"/>
        </w:rPr>
        <w:t xml:space="preserve"> </w:t>
      </w:r>
      <w:r w:rsidRPr="00820122">
        <w:rPr>
          <w:rFonts w:ascii="Times New Roman" w:hAnsi="Times New Roman" w:cs="Times New Roman"/>
        </w:rPr>
        <w:t>gibi sistemler aracılığı ile yapılabilmektedir. Bu tür bildirimlerde de aynı işlemler uygulanır.</w:t>
      </w:r>
    </w:p>
    <w:p w14:paraId="272FF05F" w14:textId="77777777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</w:p>
    <w:p w14:paraId="75253869" w14:textId="77777777" w:rsidR="00820122" w:rsidRPr="00CB604B" w:rsidRDefault="00820122" w:rsidP="0082012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B604B">
        <w:rPr>
          <w:rFonts w:ascii="Times New Roman" w:hAnsi="Times New Roman" w:cs="Times New Roman"/>
          <w:b/>
          <w:bCs/>
        </w:rPr>
        <w:t>6. İLGİLİ DÖKÜMANLAR</w:t>
      </w:r>
    </w:p>
    <w:p w14:paraId="2FF2146C" w14:textId="77777777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CB604B">
        <w:rPr>
          <w:rFonts w:ascii="Times New Roman" w:hAnsi="Times New Roman" w:cs="Times New Roman"/>
          <w:b/>
          <w:bCs/>
        </w:rPr>
        <w:t>6.1</w:t>
      </w:r>
      <w:r w:rsidRPr="00820122">
        <w:rPr>
          <w:rFonts w:ascii="Times New Roman" w:hAnsi="Times New Roman" w:cs="Times New Roman"/>
        </w:rPr>
        <w:t>. Hasta Hakları Başvuru Formu [EK-5]</w:t>
      </w:r>
    </w:p>
    <w:p w14:paraId="75064BDF" w14:textId="22E7BB43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CB604B">
        <w:rPr>
          <w:rFonts w:ascii="Times New Roman" w:hAnsi="Times New Roman" w:cs="Times New Roman"/>
          <w:b/>
          <w:bCs/>
        </w:rPr>
        <w:t>6.2.</w:t>
      </w:r>
      <w:r w:rsidRPr="00820122">
        <w:rPr>
          <w:rFonts w:ascii="Times New Roman" w:hAnsi="Times New Roman" w:cs="Times New Roman"/>
        </w:rPr>
        <w:t xml:space="preserve"> Yerinde Çözülen Sorunlar Defteri </w:t>
      </w:r>
    </w:p>
    <w:p w14:paraId="0D99A5A6" w14:textId="77777777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CB604B">
        <w:rPr>
          <w:rFonts w:ascii="Times New Roman" w:hAnsi="Times New Roman" w:cs="Times New Roman"/>
          <w:b/>
          <w:bCs/>
        </w:rPr>
        <w:t>6.3</w:t>
      </w:r>
      <w:r w:rsidRPr="00820122">
        <w:rPr>
          <w:rFonts w:ascii="Times New Roman" w:hAnsi="Times New Roman" w:cs="Times New Roman"/>
        </w:rPr>
        <w:t>. Bilgi İsteme Formu [EK-7]</w:t>
      </w:r>
    </w:p>
    <w:p w14:paraId="5A7479B1" w14:textId="1A8CE016" w:rsidR="00820122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CB604B">
        <w:rPr>
          <w:rFonts w:ascii="Times New Roman" w:hAnsi="Times New Roman" w:cs="Times New Roman"/>
          <w:b/>
          <w:bCs/>
        </w:rPr>
        <w:t>6.4.</w:t>
      </w:r>
      <w:r w:rsidRPr="00820122">
        <w:rPr>
          <w:rFonts w:ascii="Times New Roman" w:hAnsi="Times New Roman" w:cs="Times New Roman"/>
        </w:rPr>
        <w:t xml:space="preserve"> Hasta Hakları Başvuru </w:t>
      </w:r>
      <w:r w:rsidR="00CB604B" w:rsidRPr="00820122">
        <w:rPr>
          <w:rFonts w:ascii="Times New Roman" w:hAnsi="Times New Roman" w:cs="Times New Roman"/>
        </w:rPr>
        <w:t>Sonucu (</w:t>
      </w:r>
      <w:r w:rsidRPr="00820122">
        <w:rPr>
          <w:rFonts w:ascii="Times New Roman" w:hAnsi="Times New Roman" w:cs="Times New Roman"/>
        </w:rPr>
        <w:t>Personel İçin) [EK-8]</w:t>
      </w:r>
    </w:p>
    <w:p w14:paraId="1C8A4A01" w14:textId="383DBAA2" w:rsidR="00291B1D" w:rsidRPr="00820122" w:rsidRDefault="00820122" w:rsidP="00820122">
      <w:pPr>
        <w:pStyle w:val="Default"/>
        <w:jc w:val="both"/>
        <w:rPr>
          <w:rFonts w:ascii="Times New Roman" w:hAnsi="Times New Roman" w:cs="Times New Roman"/>
        </w:rPr>
      </w:pPr>
      <w:r w:rsidRPr="00CB604B">
        <w:rPr>
          <w:rFonts w:ascii="Times New Roman" w:hAnsi="Times New Roman" w:cs="Times New Roman"/>
          <w:b/>
          <w:bCs/>
        </w:rPr>
        <w:t>6.5.</w:t>
      </w:r>
      <w:r w:rsidRPr="00820122">
        <w:rPr>
          <w:rFonts w:ascii="Times New Roman" w:hAnsi="Times New Roman" w:cs="Times New Roman"/>
        </w:rPr>
        <w:t xml:space="preserve"> Hasta Hakları Başvuru </w:t>
      </w:r>
      <w:r w:rsidR="00CB604B" w:rsidRPr="00820122">
        <w:rPr>
          <w:rFonts w:ascii="Times New Roman" w:hAnsi="Times New Roman" w:cs="Times New Roman"/>
        </w:rPr>
        <w:t>Sonucu (</w:t>
      </w:r>
      <w:r w:rsidRPr="00820122">
        <w:rPr>
          <w:rFonts w:ascii="Times New Roman" w:hAnsi="Times New Roman" w:cs="Times New Roman"/>
        </w:rPr>
        <w:t>Hasta İçin) [EK-9]</w:t>
      </w:r>
    </w:p>
    <w:p w14:paraId="0F0A4FDB" w14:textId="77777777" w:rsidR="00291B1D" w:rsidRDefault="00291B1D" w:rsidP="00820122">
      <w:pPr>
        <w:jc w:val="both"/>
      </w:pPr>
    </w:p>
    <w:p w14:paraId="19A64E24" w14:textId="77777777" w:rsidR="00291B1D" w:rsidRPr="00291B1D" w:rsidRDefault="00291B1D" w:rsidP="00820122">
      <w:pPr>
        <w:jc w:val="both"/>
      </w:pPr>
    </w:p>
    <w:sectPr w:rsidR="00291B1D" w:rsidRPr="00291B1D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D9690" w14:textId="77777777" w:rsidR="00FD1B66" w:rsidRDefault="00FD1B66" w:rsidP="00413AEE">
      <w:pPr>
        <w:spacing w:after="0" w:line="240" w:lineRule="auto"/>
      </w:pPr>
      <w:r>
        <w:separator/>
      </w:r>
    </w:p>
  </w:endnote>
  <w:endnote w:type="continuationSeparator" w:id="0">
    <w:p w14:paraId="574D7CA8" w14:textId="77777777" w:rsidR="00FD1B66" w:rsidRDefault="00FD1B66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68B06E9E" w:rsidR="00EF0D5A" w:rsidRDefault="00820122" w:rsidP="00EF0D5A">
          <w:pPr>
            <w:pStyle w:val="AltBilgi"/>
            <w:jc w:val="center"/>
          </w:pPr>
          <w:r>
            <w:t>Hasta Hakları Birimi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6501F1EF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820122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C56E5" w14:textId="77777777" w:rsidR="00FD1B66" w:rsidRDefault="00FD1B66" w:rsidP="00413AEE">
      <w:pPr>
        <w:spacing w:after="0" w:line="240" w:lineRule="auto"/>
      </w:pPr>
      <w:r>
        <w:separator/>
      </w:r>
    </w:p>
  </w:footnote>
  <w:footnote w:type="continuationSeparator" w:id="0">
    <w:p w14:paraId="2DD6B692" w14:textId="77777777" w:rsidR="00FD1B66" w:rsidRDefault="00FD1B66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78C1D4C5" w:rsidR="00AE722C" w:rsidRPr="00EF0D5A" w:rsidRDefault="00820122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H.HD.PR</w:t>
          </w:r>
          <w:proofErr w:type="gramEnd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.01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57D95074" w14:textId="0C072934" w:rsidR="00820122" w:rsidRPr="00820122" w:rsidRDefault="00820122" w:rsidP="0082012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8201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HASTA HAKLARI BİRİMİ İŞLEYİŞ</w:t>
          </w:r>
        </w:p>
        <w:p w14:paraId="2A3C374C" w14:textId="46F04EAD" w:rsidR="00D766AF" w:rsidRPr="00EE7183" w:rsidRDefault="00820122" w:rsidP="0082012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82012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PROSEDÜRÜ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142BE136" w:rsidR="00AE722C" w:rsidRPr="00EF0D5A" w:rsidRDefault="002D1A52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2D1A5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2D1A5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2D1A5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2D1A5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2D1A5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2D1A52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2D1A5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2D1A5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2D1A5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2D1A5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2D1A5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4"/>
  </w:num>
  <w:num w:numId="2" w16cid:durableId="763451095">
    <w:abstractNumId w:val="1"/>
  </w:num>
  <w:num w:numId="3" w16cid:durableId="493306111">
    <w:abstractNumId w:val="0"/>
  </w:num>
  <w:num w:numId="4" w16cid:durableId="956178903">
    <w:abstractNumId w:val="3"/>
  </w:num>
  <w:num w:numId="5" w16cid:durableId="104120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6746B"/>
    <w:rsid w:val="0009325E"/>
    <w:rsid w:val="00095AFA"/>
    <w:rsid w:val="000A33DD"/>
    <w:rsid w:val="000A6F2A"/>
    <w:rsid w:val="000F71C5"/>
    <w:rsid w:val="00113665"/>
    <w:rsid w:val="001236B7"/>
    <w:rsid w:val="001520DB"/>
    <w:rsid w:val="001856A3"/>
    <w:rsid w:val="001A2DF4"/>
    <w:rsid w:val="001F5224"/>
    <w:rsid w:val="00204DDC"/>
    <w:rsid w:val="0021487C"/>
    <w:rsid w:val="0028492D"/>
    <w:rsid w:val="00287B22"/>
    <w:rsid w:val="00291B1D"/>
    <w:rsid w:val="002A1582"/>
    <w:rsid w:val="002A32D2"/>
    <w:rsid w:val="002D1A52"/>
    <w:rsid w:val="002E4E24"/>
    <w:rsid w:val="002E79A9"/>
    <w:rsid w:val="00303C65"/>
    <w:rsid w:val="00326FC4"/>
    <w:rsid w:val="00334747"/>
    <w:rsid w:val="00346C4D"/>
    <w:rsid w:val="0037649C"/>
    <w:rsid w:val="003A7DD5"/>
    <w:rsid w:val="003E5FBE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768C3"/>
    <w:rsid w:val="004C3935"/>
    <w:rsid w:val="004D270F"/>
    <w:rsid w:val="00533807"/>
    <w:rsid w:val="005B07CF"/>
    <w:rsid w:val="005C40D0"/>
    <w:rsid w:val="005C4F09"/>
    <w:rsid w:val="005F3C45"/>
    <w:rsid w:val="006455AE"/>
    <w:rsid w:val="00650167"/>
    <w:rsid w:val="00675407"/>
    <w:rsid w:val="006863D3"/>
    <w:rsid w:val="006C6D0A"/>
    <w:rsid w:val="006D247D"/>
    <w:rsid w:val="006D7461"/>
    <w:rsid w:val="006E5928"/>
    <w:rsid w:val="006F0128"/>
    <w:rsid w:val="006F6CE1"/>
    <w:rsid w:val="007144CB"/>
    <w:rsid w:val="00732014"/>
    <w:rsid w:val="0073241A"/>
    <w:rsid w:val="007643DF"/>
    <w:rsid w:val="00790987"/>
    <w:rsid w:val="007928BF"/>
    <w:rsid w:val="007C3472"/>
    <w:rsid w:val="007F3984"/>
    <w:rsid w:val="00813F37"/>
    <w:rsid w:val="00820122"/>
    <w:rsid w:val="00821097"/>
    <w:rsid w:val="00864835"/>
    <w:rsid w:val="0088679D"/>
    <w:rsid w:val="008A2E12"/>
    <w:rsid w:val="00937037"/>
    <w:rsid w:val="009420BB"/>
    <w:rsid w:val="00983486"/>
    <w:rsid w:val="009C70F0"/>
    <w:rsid w:val="009E785F"/>
    <w:rsid w:val="00A10E51"/>
    <w:rsid w:val="00A2105E"/>
    <w:rsid w:val="00A332BB"/>
    <w:rsid w:val="00A371D7"/>
    <w:rsid w:val="00A45395"/>
    <w:rsid w:val="00A73F94"/>
    <w:rsid w:val="00A82DC6"/>
    <w:rsid w:val="00A854BA"/>
    <w:rsid w:val="00AA410F"/>
    <w:rsid w:val="00AC3AB0"/>
    <w:rsid w:val="00AE21CA"/>
    <w:rsid w:val="00AE722C"/>
    <w:rsid w:val="00B05C64"/>
    <w:rsid w:val="00B11759"/>
    <w:rsid w:val="00B2472E"/>
    <w:rsid w:val="00B34D9E"/>
    <w:rsid w:val="00B57B12"/>
    <w:rsid w:val="00B7216D"/>
    <w:rsid w:val="00BC2761"/>
    <w:rsid w:val="00BC462C"/>
    <w:rsid w:val="00C024C3"/>
    <w:rsid w:val="00C23D15"/>
    <w:rsid w:val="00C4401B"/>
    <w:rsid w:val="00C44A8D"/>
    <w:rsid w:val="00C5010A"/>
    <w:rsid w:val="00C56320"/>
    <w:rsid w:val="00C85571"/>
    <w:rsid w:val="00CB1CF7"/>
    <w:rsid w:val="00CB3D33"/>
    <w:rsid w:val="00CB604B"/>
    <w:rsid w:val="00CC4B12"/>
    <w:rsid w:val="00CD0903"/>
    <w:rsid w:val="00CD4E2B"/>
    <w:rsid w:val="00CF55BC"/>
    <w:rsid w:val="00D06326"/>
    <w:rsid w:val="00D17FDF"/>
    <w:rsid w:val="00D65204"/>
    <w:rsid w:val="00D72843"/>
    <w:rsid w:val="00D766AF"/>
    <w:rsid w:val="00D91E76"/>
    <w:rsid w:val="00DC5FA8"/>
    <w:rsid w:val="00E12BC2"/>
    <w:rsid w:val="00E16E38"/>
    <w:rsid w:val="00E24D9F"/>
    <w:rsid w:val="00E26458"/>
    <w:rsid w:val="00E81BFF"/>
    <w:rsid w:val="00ED3A19"/>
    <w:rsid w:val="00EE7183"/>
    <w:rsid w:val="00EF0D5A"/>
    <w:rsid w:val="00EF1100"/>
    <w:rsid w:val="00F25BA8"/>
    <w:rsid w:val="00F502D6"/>
    <w:rsid w:val="00F5277D"/>
    <w:rsid w:val="00F53B70"/>
    <w:rsid w:val="00F55066"/>
    <w:rsid w:val="00F92D16"/>
    <w:rsid w:val="00F963C1"/>
    <w:rsid w:val="00FB468F"/>
    <w:rsid w:val="00FC1CF4"/>
    <w:rsid w:val="00FD1B66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6</cp:revision>
  <cp:lastPrinted>2019-12-20T13:38:00Z</cp:lastPrinted>
  <dcterms:created xsi:type="dcterms:W3CDTF">2024-08-21T08:50:00Z</dcterms:created>
  <dcterms:modified xsi:type="dcterms:W3CDTF">2024-08-26T07:11:00Z</dcterms:modified>
</cp:coreProperties>
</file>